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2F8" w:rsidRPr="00B51B93" w:rsidRDefault="00AB42F8">
      <w:pPr>
        <w:pStyle w:val="Title"/>
        <w:tabs>
          <w:tab w:val="clear" w:pos="1160"/>
        </w:tabs>
        <w:ind w:firstLine="0"/>
        <w:rPr>
          <w:rFonts w:ascii="Times New Roman" w:hAnsi="Times New Roman"/>
        </w:rPr>
      </w:pPr>
      <w:r w:rsidRPr="00B51B93">
        <w:rPr>
          <w:rFonts w:ascii="Times New Roman" w:hAnsi="Times New Roman"/>
        </w:rPr>
        <w:t>CHAPTER 9: THE CAPITAL ASSET PRICING MODEL</w:t>
      </w:r>
    </w:p>
    <w:p w:rsidR="00AB42F8" w:rsidRPr="00B51B93" w:rsidRDefault="00AB42F8" w:rsidP="00AB6B5B">
      <w:pPr>
        <w:widowControl w:val="0"/>
        <w:spacing w:line="220" w:lineRule="exact"/>
        <w:rPr>
          <w:rFonts w:ascii="Times New Roman" w:hAnsi="Times New Roman"/>
        </w:rPr>
      </w:pPr>
    </w:p>
    <w:p w:rsidR="004E6F09" w:rsidRPr="00B51B93" w:rsidRDefault="004E6F09" w:rsidP="00843134">
      <w:pPr>
        <w:widowControl w:val="0"/>
        <w:rPr>
          <w:rFonts w:ascii="Times New Roman" w:hAnsi="Times New Roman"/>
          <w:b/>
        </w:rPr>
      </w:pPr>
      <w:r w:rsidRPr="00B51B93">
        <w:rPr>
          <w:rFonts w:ascii="Times New Roman" w:hAnsi="Times New Roman"/>
          <w:b/>
        </w:rPr>
        <w:t xml:space="preserve">PROBLEM SETS </w:t>
      </w:r>
    </w:p>
    <w:p w:rsidR="00AB6B5B" w:rsidRPr="00B51B93" w:rsidRDefault="00AB6B5B" w:rsidP="00AB6B5B">
      <w:pPr>
        <w:widowControl w:val="0"/>
        <w:spacing w:line="220" w:lineRule="exact"/>
        <w:rPr>
          <w:rFonts w:ascii="Times New Roman" w:hAnsi="Times New Roman"/>
        </w:rPr>
      </w:pPr>
    </w:p>
    <w:p w:rsidR="00AB6B5B" w:rsidRPr="00B51B93" w:rsidRDefault="00AB6B5B" w:rsidP="00AB6B5B">
      <w:pPr>
        <w:widowControl w:val="0"/>
        <w:spacing w:line="220" w:lineRule="exact"/>
        <w:rPr>
          <w:rFonts w:ascii="Times New Roman" w:hAnsi="Times New Roman"/>
        </w:rPr>
      </w:pPr>
    </w:p>
    <w:p w:rsidR="00ED3755" w:rsidRPr="00B51B93" w:rsidRDefault="00ED3755" w:rsidP="00ED3755">
      <w:pPr>
        <w:widowControl w:val="0"/>
        <w:tabs>
          <w:tab w:val="left" w:pos="540"/>
        </w:tabs>
        <w:ind w:left="1080" w:hanging="1080"/>
        <w:rPr>
          <w:rFonts w:ascii="Times New Roman" w:hAnsi="Times New Roman"/>
        </w:rPr>
      </w:pPr>
      <w:r w:rsidRPr="00B51B93">
        <w:rPr>
          <w:rFonts w:ascii="Times New Roman" w:hAnsi="Times New Roman"/>
        </w:rPr>
        <w:t>3.</w:t>
      </w:r>
      <w:r w:rsidRPr="00B51B93">
        <w:rPr>
          <w:rFonts w:ascii="Times New Roman" w:hAnsi="Times New Roman"/>
        </w:rPr>
        <w:tab/>
        <w:t>a.</w:t>
      </w:r>
      <w:r w:rsidRPr="00B51B93">
        <w:rPr>
          <w:rFonts w:ascii="Times New Roman" w:hAnsi="Times New Roman"/>
        </w:rPr>
        <w:tab/>
        <w:t>False</w:t>
      </w:r>
      <w:r w:rsidR="00BB507B">
        <w:rPr>
          <w:rFonts w:ascii="Times New Roman" w:hAnsi="Times New Roman"/>
        </w:rPr>
        <w:t xml:space="preserve">. </w:t>
      </w:r>
      <w:r w:rsidR="00B51B93">
        <w:rPr>
          <w:rFonts w:ascii="Times New Roman" w:hAnsi="Times New Roman"/>
        </w:rPr>
        <w:t>β</w:t>
      </w:r>
      <w:r w:rsidRPr="00B51B93">
        <w:rPr>
          <w:rFonts w:ascii="Times New Roman" w:hAnsi="Times New Roman"/>
        </w:rPr>
        <w:t xml:space="preserve"> = 0 implies </w:t>
      </w:r>
      <w:r w:rsidRPr="00BB507B">
        <w:rPr>
          <w:rFonts w:ascii="Times New Roman" w:hAnsi="Times New Roman"/>
          <w:i/>
        </w:rPr>
        <w:t>E</w:t>
      </w:r>
      <w:r w:rsidRPr="00B51B93">
        <w:rPr>
          <w:rFonts w:ascii="Times New Roman" w:hAnsi="Times New Roman"/>
        </w:rPr>
        <w:t>(</w:t>
      </w:r>
      <w:r w:rsidRPr="00BB507B">
        <w:rPr>
          <w:rFonts w:ascii="Times New Roman" w:hAnsi="Times New Roman"/>
          <w:i/>
        </w:rPr>
        <w:t>r</w:t>
      </w:r>
      <w:r w:rsidRPr="00B51B93">
        <w:rPr>
          <w:rFonts w:ascii="Times New Roman" w:hAnsi="Times New Roman"/>
        </w:rPr>
        <w:t xml:space="preserve">) = </w:t>
      </w:r>
      <w:proofErr w:type="gramStart"/>
      <w:r w:rsidRPr="00BB507B">
        <w:rPr>
          <w:rFonts w:ascii="Times New Roman" w:hAnsi="Times New Roman"/>
          <w:i/>
        </w:rPr>
        <w:t>r</w:t>
      </w:r>
      <w:r w:rsidRPr="00BB507B">
        <w:rPr>
          <w:rFonts w:ascii="Times New Roman" w:hAnsi="Times New Roman"/>
          <w:i/>
          <w:vertAlign w:val="subscript"/>
        </w:rPr>
        <w:t xml:space="preserve">f </w:t>
      </w:r>
      <w:r w:rsidRPr="00B51B93">
        <w:rPr>
          <w:rFonts w:ascii="Times New Roman" w:hAnsi="Times New Roman"/>
        </w:rPr>
        <w:t>,</w:t>
      </w:r>
      <w:proofErr w:type="gramEnd"/>
      <w:r w:rsidRPr="00B51B93">
        <w:rPr>
          <w:rFonts w:ascii="Times New Roman" w:hAnsi="Times New Roman"/>
        </w:rPr>
        <w:t xml:space="preserve"> not zero.</w:t>
      </w:r>
    </w:p>
    <w:p w:rsidR="00AB6B5B" w:rsidRPr="00B51B93" w:rsidRDefault="00AB6B5B" w:rsidP="00AB6B5B">
      <w:pPr>
        <w:widowControl w:val="0"/>
        <w:spacing w:line="220" w:lineRule="exact"/>
        <w:rPr>
          <w:rFonts w:ascii="Times New Roman" w:hAnsi="Times New Roman"/>
        </w:rPr>
      </w:pPr>
    </w:p>
    <w:p w:rsidR="00BB1D3E" w:rsidRDefault="00ED3755" w:rsidP="00BB1D3E">
      <w:pPr>
        <w:pStyle w:val="BodyTextIndent"/>
        <w:numPr>
          <w:ilvl w:val="0"/>
          <w:numId w:val="2"/>
        </w:numPr>
        <w:tabs>
          <w:tab w:val="clear" w:pos="1005"/>
          <w:tab w:val="clear" w:pos="1160"/>
        </w:tabs>
        <w:ind w:left="1080" w:hanging="540"/>
        <w:rPr>
          <w:rFonts w:ascii="Times New Roman" w:hAnsi="Times New Roman"/>
        </w:rPr>
      </w:pPr>
      <w:r w:rsidRPr="00B51B93">
        <w:rPr>
          <w:rFonts w:ascii="Times New Roman" w:hAnsi="Times New Roman"/>
        </w:rPr>
        <w:t>False</w:t>
      </w:r>
      <w:r w:rsidR="00BB507B">
        <w:rPr>
          <w:rFonts w:ascii="Times New Roman" w:hAnsi="Times New Roman"/>
        </w:rPr>
        <w:t xml:space="preserve">. </w:t>
      </w:r>
      <w:r w:rsidRPr="00B51B93">
        <w:rPr>
          <w:rFonts w:ascii="Times New Roman" w:hAnsi="Times New Roman"/>
        </w:rPr>
        <w:t>Investors require a risk premium only for bearing systematic (undiversifiable or market) risk. Total volatility</w:t>
      </w:r>
      <w:r w:rsidR="00962782">
        <w:rPr>
          <w:rFonts w:ascii="Times New Roman" w:hAnsi="Times New Roman"/>
        </w:rPr>
        <w:t>, as measured by the standard deviation,</w:t>
      </w:r>
      <w:r w:rsidRPr="00B51B93">
        <w:rPr>
          <w:rFonts w:ascii="Times New Roman" w:hAnsi="Times New Roman"/>
        </w:rPr>
        <w:t xml:space="preserve"> includes diversifiable risk.</w:t>
      </w:r>
    </w:p>
    <w:p w:rsidR="00BB1D3E" w:rsidRDefault="00BB1D3E" w:rsidP="00BB1D3E">
      <w:pPr>
        <w:pStyle w:val="BodyTextIndent"/>
        <w:tabs>
          <w:tab w:val="clear" w:pos="1008"/>
          <w:tab w:val="clear" w:pos="1160"/>
        </w:tabs>
        <w:ind w:left="1080" w:firstLine="0"/>
        <w:rPr>
          <w:rFonts w:ascii="Times New Roman" w:hAnsi="Times New Roman"/>
        </w:rPr>
      </w:pPr>
    </w:p>
    <w:p w:rsidR="00AB6B5B" w:rsidRPr="00BB1D3E" w:rsidRDefault="00BB1D3E" w:rsidP="00BB1D3E">
      <w:pPr>
        <w:pStyle w:val="BodyTextIndent"/>
        <w:numPr>
          <w:ilvl w:val="0"/>
          <w:numId w:val="2"/>
        </w:numPr>
        <w:tabs>
          <w:tab w:val="clear" w:pos="1005"/>
          <w:tab w:val="clear" w:pos="1160"/>
        </w:tabs>
        <w:ind w:left="1087" w:hanging="540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ED3755" w:rsidRPr="00BB1D3E">
        <w:rPr>
          <w:rFonts w:ascii="Times New Roman" w:hAnsi="Times New Roman"/>
        </w:rPr>
        <w:t>alse</w:t>
      </w:r>
      <w:r w:rsidR="00BB507B">
        <w:rPr>
          <w:rFonts w:ascii="Times New Roman" w:hAnsi="Times New Roman"/>
        </w:rPr>
        <w:t xml:space="preserve">. </w:t>
      </w:r>
      <w:r w:rsidR="00ED3755" w:rsidRPr="00BB1D3E">
        <w:rPr>
          <w:rFonts w:ascii="Times New Roman" w:hAnsi="Times New Roman"/>
        </w:rPr>
        <w:t>Your portfolio should be invested 75% in the market portfolio and 25% in T-bills</w:t>
      </w:r>
      <w:r w:rsidR="00BB507B">
        <w:rPr>
          <w:rFonts w:ascii="Times New Roman" w:hAnsi="Times New Roman"/>
        </w:rPr>
        <w:t xml:space="preserve">. </w:t>
      </w:r>
      <w:r w:rsidR="00ED3755" w:rsidRPr="00BB1D3E">
        <w:rPr>
          <w:rFonts w:ascii="Times New Roman" w:hAnsi="Times New Roman"/>
        </w:rPr>
        <w:t>Then:</w:t>
      </w:r>
      <w:r w:rsidR="00061820" w:rsidRPr="00B51B93">
        <w:rPr>
          <w:noProof/>
          <w:position w:val="-12"/>
        </w:rPr>
      </w:r>
      <w:r w:rsidR="00061820" w:rsidRPr="00B51B93">
        <w:rPr>
          <w:noProof/>
          <w:position w:val="-12"/>
        </w:rPr>
        <w:object w:dxaOrig="31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6.85pt;height:18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40300578" r:id="rId8"/>
        </w:object>
      </w:r>
    </w:p>
    <w:p w:rsidR="00B51B93" w:rsidRPr="00B51B93" w:rsidRDefault="00B51B93" w:rsidP="00B51B93">
      <w:pPr>
        <w:ind w:left="1620"/>
        <w:rPr>
          <w:rFonts w:ascii="Times New Roman" w:hAnsi="Times New Roman"/>
        </w:rPr>
      </w:pPr>
    </w:p>
    <w:p w:rsidR="00AB6B5B" w:rsidRPr="00B51B93" w:rsidRDefault="00AB6B5B" w:rsidP="00AB6B5B">
      <w:pPr>
        <w:widowControl w:val="0"/>
        <w:spacing w:line="220" w:lineRule="exact"/>
        <w:rPr>
          <w:rFonts w:ascii="Times New Roman" w:hAnsi="Times New Roman"/>
        </w:rPr>
      </w:pPr>
    </w:p>
    <w:p w:rsidR="00D423BB" w:rsidRDefault="00D423BB" w:rsidP="00AB6B5B">
      <w:pPr>
        <w:widowControl w:val="0"/>
        <w:spacing w:after="100"/>
        <w:ind w:left="547" w:hanging="547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The expected return is the return predicted by the CAPM for a given level of systematic risk</w:t>
      </w:r>
      <w:r w:rsidR="00BB507B">
        <w:rPr>
          <w:rFonts w:ascii="Times New Roman" w:hAnsi="Times New Roman"/>
        </w:rPr>
        <w:t xml:space="preserve">. </w:t>
      </w:r>
    </w:p>
    <w:p w:rsidR="00D423BB" w:rsidRDefault="00D423BB" w:rsidP="00AB6B5B">
      <w:pPr>
        <w:widowControl w:val="0"/>
        <w:spacing w:after="100"/>
        <w:ind w:left="547" w:hanging="54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61820" w:rsidRPr="00D423BB">
        <w:rPr>
          <w:rFonts w:ascii="Times New Roman" w:hAnsi="Times New Roman"/>
          <w:noProof/>
          <w:position w:val="-54"/>
        </w:rPr>
      </w:r>
      <w:r w:rsidR="00061820" w:rsidRPr="00D423BB">
        <w:rPr>
          <w:rFonts w:ascii="Times New Roman" w:hAnsi="Times New Roman"/>
          <w:noProof/>
          <w:position w:val="-54"/>
        </w:rPr>
        <w:object w:dxaOrig="4740" w:dyaOrig="1160">
          <v:shape id="_x0000_i1026" type="#_x0000_t75" alt="" style="width:237pt;height:57.85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740300579" r:id="rId10"/>
        </w:object>
      </w:r>
    </w:p>
    <w:p w:rsidR="00616B5A" w:rsidRDefault="00616B5A" w:rsidP="00AB6B5B">
      <w:pPr>
        <w:widowControl w:val="0"/>
        <w:spacing w:after="100"/>
        <w:ind w:left="547" w:hanging="547"/>
        <w:rPr>
          <w:rFonts w:ascii="Times New Roman" w:hAnsi="Times New Roman"/>
        </w:rPr>
      </w:pPr>
    </w:p>
    <w:p w:rsidR="00AB42F8" w:rsidRPr="00B51B93" w:rsidRDefault="00D423BB" w:rsidP="00AB6B5B">
      <w:pPr>
        <w:widowControl w:val="0"/>
        <w:spacing w:after="100"/>
        <w:ind w:left="547" w:hanging="547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AB42F8" w:rsidRPr="00B51B93">
        <w:rPr>
          <w:rFonts w:ascii="Times New Roman" w:hAnsi="Times New Roman"/>
        </w:rPr>
        <w:t>.</w:t>
      </w:r>
      <w:r w:rsidR="00AB42F8" w:rsidRPr="00B51B93">
        <w:rPr>
          <w:rFonts w:ascii="Times New Roman" w:hAnsi="Times New Roman"/>
        </w:rPr>
        <w:tab/>
        <w:t>The appropriate discount rate for the project is:</w:t>
      </w:r>
    </w:p>
    <w:p w:rsidR="00AB42F8" w:rsidRPr="00B51B93" w:rsidRDefault="00AB42F8" w:rsidP="00AB6B5B">
      <w:pPr>
        <w:widowControl w:val="0"/>
        <w:spacing w:after="100"/>
        <w:ind w:left="1080" w:hanging="7"/>
        <w:rPr>
          <w:rFonts w:ascii="Times New Roman" w:hAnsi="Times New Roman"/>
        </w:rPr>
      </w:pPr>
      <w:r w:rsidRPr="00962782">
        <w:rPr>
          <w:rFonts w:ascii="Times New Roman" w:hAnsi="Times New Roman"/>
          <w:i/>
        </w:rPr>
        <w:t>r</w:t>
      </w:r>
      <w:r w:rsidRPr="00962782">
        <w:rPr>
          <w:rFonts w:ascii="Times New Roman" w:hAnsi="Times New Roman"/>
          <w:i/>
          <w:vertAlign w:val="subscript"/>
        </w:rPr>
        <w:t>f</w:t>
      </w:r>
      <w:r w:rsidRPr="00B51B93">
        <w:rPr>
          <w:rFonts w:ascii="Times New Roman" w:hAnsi="Times New Roman"/>
        </w:rPr>
        <w:t xml:space="preserve"> + </w:t>
      </w:r>
      <w:r w:rsidR="00BB1D3E">
        <w:rPr>
          <w:rFonts w:ascii="Times New Roman" w:hAnsi="Times New Roman"/>
        </w:rPr>
        <w:t xml:space="preserve">β × </w:t>
      </w:r>
      <w:r w:rsidRPr="00B51B93">
        <w:rPr>
          <w:rFonts w:ascii="Times New Roman" w:hAnsi="Times New Roman"/>
        </w:rPr>
        <w:t>[</w:t>
      </w:r>
      <w:proofErr w:type="gramStart"/>
      <w:r w:rsidRPr="00962782">
        <w:rPr>
          <w:rFonts w:ascii="Times New Roman" w:hAnsi="Times New Roman"/>
          <w:i/>
        </w:rPr>
        <w:t>E</w:t>
      </w:r>
      <w:r w:rsidRPr="00B51B93">
        <w:rPr>
          <w:rFonts w:ascii="Times New Roman" w:hAnsi="Times New Roman"/>
        </w:rPr>
        <w:t>(</w:t>
      </w:r>
      <w:proofErr w:type="spellStart"/>
      <w:proofErr w:type="gramEnd"/>
      <w:r w:rsidRPr="00962782">
        <w:rPr>
          <w:rFonts w:ascii="Times New Roman" w:hAnsi="Times New Roman"/>
          <w:i/>
        </w:rPr>
        <w:t>r</w:t>
      </w:r>
      <w:r w:rsidRPr="00962782">
        <w:rPr>
          <w:rFonts w:ascii="Times New Roman" w:hAnsi="Times New Roman"/>
          <w:i/>
          <w:vertAlign w:val="subscript"/>
        </w:rPr>
        <w:t>M</w:t>
      </w:r>
      <w:proofErr w:type="spellEnd"/>
      <w:r w:rsidRPr="00B51B93">
        <w:rPr>
          <w:rFonts w:ascii="Times New Roman" w:hAnsi="Times New Roman"/>
          <w:vertAlign w:val="subscript"/>
        </w:rPr>
        <w:t xml:space="preserve"> </w:t>
      </w:r>
      <w:r w:rsidRPr="00B51B93">
        <w:rPr>
          <w:rFonts w:ascii="Times New Roman" w:hAnsi="Times New Roman"/>
        </w:rPr>
        <w:t xml:space="preserve">) – </w:t>
      </w:r>
      <w:r w:rsidRPr="00962782">
        <w:rPr>
          <w:rFonts w:ascii="Times New Roman" w:hAnsi="Times New Roman"/>
          <w:i/>
        </w:rPr>
        <w:t>r</w:t>
      </w:r>
      <w:r w:rsidRPr="00962782">
        <w:rPr>
          <w:rFonts w:ascii="Times New Roman" w:hAnsi="Times New Roman"/>
          <w:i/>
          <w:vertAlign w:val="subscript"/>
        </w:rPr>
        <w:t>f</w:t>
      </w:r>
      <w:r w:rsidRPr="00B51B93">
        <w:rPr>
          <w:rFonts w:ascii="Times New Roman" w:hAnsi="Times New Roman"/>
          <w:vertAlign w:val="subscript"/>
        </w:rPr>
        <w:t xml:space="preserve"> </w:t>
      </w:r>
      <w:r w:rsidRPr="00B51B93">
        <w:rPr>
          <w:rFonts w:ascii="Times New Roman" w:hAnsi="Times New Roman"/>
        </w:rPr>
        <w:t xml:space="preserve">] = </w:t>
      </w:r>
      <w:r w:rsidR="00BB1D3E">
        <w:rPr>
          <w:rFonts w:ascii="Times New Roman" w:hAnsi="Times New Roman"/>
        </w:rPr>
        <w:t>.0</w:t>
      </w:r>
      <w:r w:rsidRPr="00B51B93">
        <w:rPr>
          <w:rFonts w:ascii="Times New Roman" w:hAnsi="Times New Roman"/>
        </w:rPr>
        <w:t xml:space="preserve">8 + [1.8 </w:t>
      </w:r>
      <w:r w:rsidRPr="00B51B93">
        <w:rPr>
          <w:rFonts w:ascii="Times New Roman" w:hAnsi="Times New Roman"/>
        </w:rPr>
        <w:sym w:font="Symbol" w:char="F0B4"/>
      </w:r>
      <w:r w:rsidRPr="00B51B93">
        <w:rPr>
          <w:rFonts w:ascii="Times New Roman" w:hAnsi="Times New Roman"/>
        </w:rPr>
        <w:t xml:space="preserve"> (</w:t>
      </w:r>
      <w:r w:rsidR="00BB1D3E">
        <w:rPr>
          <w:rFonts w:ascii="Times New Roman" w:hAnsi="Times New Roman"/>
        </w:rPr>
        <w:t>.</w:t>
      </w:r>
      <w:r w:rsidRPr="00B51B93">
        <w:rPr>
          <w:rFonts w:ascii="Times New Roman" w:hAnsi="Times New Roman"/>
        </w:rPr>
        <w:t xml:space="preserve">16 – </w:t>
      </w:r>
      <w:r w:rsidR="00BB1D3E">
        <w:rPr>
          <w:rFonts w:ascii="Times New Roman" w:hAnsi="Times New Roman"/>
        </w:rPr>
        <w:t>.0</w:t>
      </w:r>
      <w:r w:rsidRPr="00B51B93">
        <w:rPr>
          <w:rFonts w:ascii="Times New Roman" w:hAnsi="Times New Roman"/>
        </w:rPr>
        <w:t xml:space="preserve">8)] = </w:t>
      </w:r>
      <w:r w:rsidR="00BB1D3E">
        <w:rPr>
          <w:rFonts w:ascii="Times New Roman" w:hAnsi="Times New Roman"/>
        </w:rPr>
        <w:t>.224</w:t>
      </w:r>
      <w:r w:rsidR="00BB507B">
        <w:rPr>
          <w:rFonts w:ascii="Times New Roman" w:hAnsi="Times New Roman"/>
        </w:rPr>
        <w:t>,</w:t>
      </w:r>
      <w:r w:rsidR="00BB1D3E">
        <w:rPr>
          <w:rFonts w:ascii="Times New Roman" w:hAnsi="Times New Roman"/>
        </w:rPr>
        <w:t xml:space="preserve"> </w:t>
      </w:r>
      <w:r w:rsidR="00BB507B">
        <w:rPr>
          <w:rFonts w:ascii="Times New Roman" w:hAnsi="Times New Roman"/>
        </w:rPr>
        <w:t xml:space="preserve">or </w:t>
      </w:r>
      <w:r w:rsidRPr="00B51B93">
        <w:rPr>
          <w:rFonts w:ascii="Times New Roman" w:hAnsi="Times New Roman"/>
        </w:rPr>
        <w:t>22.4%</w:t>
      </w:r>
    </w:p>
    <w:p w:rsidR="00AB42F8" w:rsidRPr="00B51B93" w:rsidRDefault="00AB42F8" w:rsidP="00AB6B5B">
      <w:pPr>
        <w:widowControl w:val="0"/>
        <w:spacing w:after="100"/>
        <w:ind w:left="547" w:hanging="7"/>
        <w:rPr>
          <w:rFonts w:ascii="Times New Roman" w:hAnsi="Times New Roman"/>
        </w:rPr>
      </w:pPr>
      <w:r w:rsidRPr="00B51B93">
        <w:rPr>
          <w:rFonts w:ascii="Times New Roman" w:hAnsi="Times New Roman"/>
        </w:rPr>
        <w:t>Using this discount rate:</w:t>
      </w:r>
    </w:p>
    <w:p w:rsidR="00AB42F8" w:rsidRPr="00B51B93" w:rsidRDefault="00061820" w:rsidP="00AB6B5B">
      <w:pPr>
        <w:widowControl w:val="0"/>
        <w:spacing w:after="100"/>
        <w:ind w:left="547" w:right="-180" w:hanging="7"/>
        <w:rPr>
          <w:rFonts w:ascii="Times New Roman" w:hAnsi="Times New Roman"/>
        </w:rPr>
      </w:pPr>
      <w:r w:rsidRPr="00B51B93">
        <w:rPr>
          <w:rFonts w:ascii="Times New Roman" w:hAnsi="Times New Roman"/>
          <w:noProof/>
          <w:position w:val="-28"/>
        </w:rPr>
      </w:r>
      <w:r w:rsidR="00061820" w:rsidRPr="00B51B93">
        <w:rPr>
          <w:rFonts w:ascii="Times New Roman" w:hAnsi="Times New Roman"/>
          <w:noProof/>
          <w:position w:val="-28"/>
        </w:rPr>
        <w:object w:dxaOrig="3940" w:dyaOrig="680">
          <v:shape id="_x0000_i1027" type="#_x0000_t75" alt="" style="width:197.15pt;height:33.85pt;mso-width-percent:0;mso-height-percent:0;mso-width-percent:0;mso-height-percent:0" o:ole="" fillcolor="window">
            <v:imagedata r:id="rId11" o:title=""/>
          </v:shape>
          <o:OLEObject Type="Embed" ProgID="Equation.3" ShapeID="_x0000_i1027" DrawAspect="Content" ObjectID="_1740300580" r:id="rId12"/>
        </w:object>
      </w:r>
      <w:r w:rsidR="00AB42F8" w:rsidRPr="00B51B93">
        <w:rPr>
          <w:rFonts w:ascii="Times New Roman" w:hAnsi="Times New Roman"/>
        </w:rPr>
        <w:t>Annuity factor (22.4%, 10 years)] = $18.09</w:t>
      </w:r>
    </w:p>
    <w:p w:rsidR="00AB42F8" w:rsidRPr="00B51B93" w:rsidRDefault="00AB42F8" w:rsidP="00AB6B5B">
      <w:pPr>
        <w:widowControl w:val="0"/>
        <w:spacing w:after="100"/>
        <w:ind w:left="547" w:hanging="7"/>
        <w:rPr>
          <w:rFonts w:ascii="Times New Roman" w:hAnsi="Times New Roman"/>
        </w:rPr>
      </w:pPr>
      <w:r w:rsidRPr="00061820">
        <w:rPr>
          <w:rFonts w:ascii="Times New Roman" w:hAnsi="Times New Roman"/>
          <w:color w:val="FF0000"/>
        </w:rPr>
        <w:t>The internal rate of return (IRR) for the project is 35.73%</w:t>
      </w:r>
      <w:r w:rsidR="00BB507B" w:rsidRPr="00061820">
        <w:rPr>
          <w:rFonts w:ascii="Times New Roman" w:hAnsi="Times New Roman"/>
          <w:color w:val="FF0000"/>
        </w:rPr>
        <w:t xml:space="preserve">. </w:t>
      </w:r>
      <w:r w:rsidRPr="00B51B93">
        <w:rPr>
          <w:rFonts w:ascii="Times New Roman" w:hAnsi="Times New Roman"/>
        </w:rPr>
        <w:t>Recall from your introductory finance class that NPV is positive if IRR &gt; discount rate (or, equivalently, hurdle rate)</w:t>
      </w:r>
      <w:r w:rsidR="00BB507B">
        <w:rPr>
          <w:rFonts w:ascii="Times New Roman" w:hAnsi="Times New Roman"/>
        </w:rPr>
        <w:t xml:space="preserve">. </w:t>
      </w:r>
      <w:r w:rsidRPr="00B51B93">
        <w:rPr>
          <w:rFonts w:ascii="Times New Roman" w:hAnsi="Times New Roman"/>
        </w:rPr>
        <w:t>The highest value that beta can take before the hurdle rate exceeds the IRR is determined by:</w:t>
      </w:r>
    </w:p>
    <w:p w:rsidR="00AB42F8" w:rsidRPr="00061820" w:rsidRDefault="00BB1D3E" w:rsidP="00AB6B5B">
      <w:pPr>
        <w:widowControl w:val="0"/>
        <w:ind w:left="108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.</w:t>
      </w:r>
      <w:r w:rsidR="00AB42F8" w:rsidRPr="00B51B93">
        <w:rPr>
          <w:rFonts w:ascii="Times New Roman" w:hAnsi="Times New Roman"/>
        </w:rPr>
        <w:t xml:space="preserve">3573 = </w:t>
      </w:r>
      <w:r>
        <w:rPr>
          <w:rFonts w:ascii="Times New Roman" w:hAnsi="Times New Roman"/>
        </w:rPr>
        <w:t>.0</w:t>
      </w:r>
      <w:r w:rsidR="00AB42F8" w:rsidRPr="00B51B93">
        <w:rPr>
          <w:rFonts w:ascii="Times New Roman" w:hAnsi="Times New Roman"/>
        </w:rPr>
        <w:t xml:space="preserve">8 + </w:t>
      </w:r>
      <w:r>
        <w:rPr>
          <w:rFonts w:ascii="Times New Roman" w:hAnsi="Times New Roman"/>
        </w:rPr>
        <w:t xml:space="preserve">β × </w:t>
      </w:r>
      <w:r w:rsidR="00AB42F8" w:rsidRPr="00B51B93">
        <w:rPr>
          <w:rFonts w:ascii="Times New Roman" w:hAnsi="Times New Roman"/>
        </w:rPr>
        <w:t>(</w:t>
      </w:r>
      <w:r>
        <w:rPr>
          <w:rFonts w:ascii="Times New Roman" w:hAnsi="Times New Roman"/>
        </w:rPr>
        <w:t>.</w:t>
      </w:r>
      <w:r w:rsidR="00AB42F8" w:rsidRPr="00B51B93">
        <w:rPr>
          <w:rFonts w:ascii="Times New Roman" w:hAnsi="Times New Roman"/>
        </w:rPr>
        <w:t xml:space="preserve">16 – </w:t>
      </w:r>
      <w:r>
        <w:rPr>
          <w:rFonts w:ascii="Times New Roman" w:hAnsi="Times New Roman"/>
        </w:rPr>
        <w:t>.0</w:t>
      </w:r>
      <w:r w:rsidR="00AB42F8" w:rsidRPr="00B51B93">
        <w:rPr>
          <w:rFonts w:ascii="Times New Roman" w:hAnsi="Times New Roman"/>
        </w:rPr>
        <w:t xml:space="preserve">8) </w:t>
      </w:r>
      <w:r w:rsidR="00AB42F8" w:rsidRPr="00B51B93">
        <w:rPr>
          <w:rFonts w:ascii="Times New Roman" w:hAnsi="Times New Roman"/>
        </w:rPr>
        <w:sym w:font="Symbol" w:char="F0DE"/>
      </w:r>
      <w:r w:rsidR="00AB42F8" w:rsidRPr="00B51B93">
        <w:rPr>
          <w:rFonts w:ascii="Times New Roman" w:hAnsi="Times New Roman"/>
        </w:rPr>
        <w:t xml:space="preserve"> </w:t>
      </w:r>
      <w:r w:rsidRPr="00061820">
        <w:rPr>
          <w:rFonts w:ascii="Times New Roman" w:hAnsi="Times New Roman"/>
          <w:color w:val="FF0000"/>
        </w:rPr>
        <w:t>β</w:t>
      </w:r>
      <w:r w:rsidR="00AB42F8" w:rsidRPr="00061820">
        <w:rPr>
          <w:rFonts w:ascii="Times New Roman" w:hAnsi="Times New Roman"/>
          <w:color w:val="FF0000"/>
        </w:rPr>
        <w:t xml:space="preserve"> = </w:t>
      </w:r>
      <w:r w:rsidRPr="00061820">
        <w:rPr>
          <w:rFonts w:ascii="Times New Roman" w:hAnsi="Times New Roman"/>
          <w:color w:val="FF0000"/>
        </w:rPr>
        <w:t>.27</w:t>
      </w:r>
      <w:r w:rsidR="00AB42F8" w:rsidRPr="00061820">
        <w:rPr>
          <w:rFonts w:ascii="Times New Roman" w:hAnsi="Times New Roman"/>
          <w:color w:val="FF0000"/>
        </w:rPr>
        <w:t>73/</w:t>
      </w:r>
      <w:r w:rsidRPr="00061820">
        <w:rPr>
          <w:rFonts w:ascii="Times New Roman" w:hAnsi="Times New Roman"/>
          <w:color w:val="FF0000"/>
        </w:rPr>
        <w:t>.0</w:t>
      </w:r>
      <w:r w:rsidR="00AB42F8" w:rsidRPr="00061820">
        <w:rPr>
          <w:rFonts w:ascii="Times New Roman" w:hAnsi="Times New Roman"/>
          <w:color w:val="FF0000"/>
        </w:rPr>
        <w:t>8 = 3.47</w:t>
      </w:r>
    </w:p>
    <w:p w:rsidR="000265F0" w:rsidRDefault="000265F0" w:rsidP="00843134">
      <w:pPr>
        <w:widowControl w:val="0"/>
        <w:tabs>
          <w:tab w:val="left" w:pos="540"/>
        </w:tabs>
        <w:spacing w:after="120"/>
        <w:ind w:left="1080" w:hanging="1080"/>
        <w:rPr>
          <w:rFonts w:ascii="Times New Roman" w:hAnsi="Times New Roman"/>
        </w:rPr>
      </w:pPr>
    </w:p>
    <w:p w:rsidR="00AB42F8" w:rsidRPr="00B51B93" w:rsidRDefault="00AB42F8" w:rsidP="002619EA">
      <w:pPr>
        <w:widowControl w:val="0"/>
        <w:rPr>
          <w:rFonts w:ascii="Times New Roman" w:hAnsi="Times New Roman"/>
        </w:rPr>
      </w:pPr>
    </w:p>
    <w:p w:rsidR="00AB42F8" w:rsidRPr="00B51B93" w:rsidRDefault="00616B5A" w:rsidP="00616B5A">
      <w:pPr>
        <w:pStyle w:val="BodyTextIndent2"/>
        <w:tabs>
          <w:tab w:val="left" w:pos="54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 </w:t>
      </w:r>
      <w:r w:rsidR="00AB42F8" w:rsidRPr="00B51B93">
        <w:rPr>
          <w:rFonts w:ascii="Times New Roman" w:hAnsi="Times New Roman"/>
        </w:rPr>
        <w:t>Since the stock’s beta is equal to 1.2, its expected rate of return is:</w:t>
      </w:r>
    </w:p>
    <w:p w:rsidR="00AB42F8" w:rsidRPr="00B51B93" w:rsidRDefault="001C13F5" w:rsidP="002619EA">
      <w:pPr>
        <w:widowControl w:val="0"/>
        <w:spacing w:after="120"/>
        <w:ind w:left="1080" w:hanging="7"/>
        <w:rPr>
          <w:rFonts w:ascii="Times New Roman" w:hAnsi="Times New Roman"/>
        </w:rPr>
      </w:pPr>
      <w:r>
        <w:rPr>
          <w:rFonts w:ascii="Times New Roman" w:hAnsi="Times New Roman"/>
        </w:rPr>
        <w:t>.0</w:t>
      </w:r>
      <w:r w:rsidR="00AB42F8" w:rsidRPr="00B51B93">
        <w:rPr>
          <w:rFonts w:ascii="Times New Roman" w:hAnsi="Times New Roman"/>
        </w:rPr>
        <w:t xml:space="preserve">6 + [1.2 </w:t>
      </w:r>
      <w:r w:rsidR="00AB42F8" w:rsidRPr="00B51B93">
        <w:rPr>
          <w:rFonts w:ascii="Times New Roman" w:hAnsi="Times New Roman"/>
        </w:rPr>
        <w:sym w:font="Symbol" w:char="F0B4"/>
      </w:r>
      <w:r w:rsidR="00AB42F8" w:rsidRPr="00B51B9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.</w:t>
      </w:r>
      <w:r w:rsidR="00AB42F8" w:rsidRPr="00B51B93">
        <w:rPr>
          <w:rFonts w:ascii="Times New Roman" w:hAnsi="Times New Roman"/>
        </w:rPr>
        <w:t xml:space="preserve">16 – </w:t>
      </w:r>
      <w:r>
        <w:rPr>
          <w:rFonts w:ascii="Times New Roman" w:hAnsi="Times New Roman"/>
        </w:rPr>
        <w:t>.0</w:t>
      </w:r>
      <w:r w:rsidR="00AB42F8" w:rsidRPr="00B51B93">
        <w:rPr>
          <w:rFonts w:ascii="Times New Roman" w:hAnsi="Times New Roman"/>
        </w:rPr>
        <w:t xml:space="preserve">6)] </w:t>
      </w:r>
      <w:r w:rsidR="00AB42F8" w:rsidRPr="00061820">
        <w:rPr>
          <w:rFonts w:ascii="Times New Roman" w:hAnsi="Times New Roman"/>
          <w:color w:val="FF0000"/>
        </w:rPr>
        <w:t>= 18%</w:t>
      </w:r>
    </w:p>
    <w:p w:rsidR="00AB42F8" w:rsidRPr="00B51B93" w:rsidRDefault="00061820" w:rsidP="002619EA">
      <w:pPr>
        <w:widowControl w:val="0"/>
        <w:spacing w:after="120"/>
        <w:ind w:left="1080" w:hanging="7"/>
        <w:rPr>
          <w:rFonts w:ascii="Times New Roman" w:hAnsi="Times New Roman"/>
        </w:rPr>
      </w:pPr>
      <w:r w:rsidRPr="00B51B93">
        <w:rPr>
          <w:rFonts w:ascii="Times New Roman" w:hAnsi="Times New Roman"/>
          <w:noProof/>
          <w:position w:val="-30"/>
        </w:rPr>
      </w:r>
      <w:r w:rsidR="00061820" w:rsidRPr="00B51B93">
        <w:rPr>
          <w:rFonts w:ascii="Times New Roman" w:hAnsi="Times New Roman"/>
          <w:noProof/>
          <w:position w:val="-30"/>
        </w:rPr>
        <w:object w:dxaOrig="5319" w:dyaOrig="700">
          <v:shape id="_x0000_i1028" type="#_x0000_t75" alt="" style="width:266.15pt;height:34.7pt;mso-width-percent:0;mso-height-percent:0;mso-width-percent:0;mso-height-percent:0" o:ole="" fillcolor="window">
            <v:imagedata r:id="rId13" o:title=""/>
          </v:shape>
          <o:OLEObject Type="Embed" ProgID="Equation.3" ShapeID="_x0000_i1028" DrawAspect="Content" ObjectID="_1740300581" r:id="rId14"/>
        </w:object>
      </w:r>
    </w:p>
    <w:p w:rsidR="00AB42F8" w:rsidRPr="00B51B93" w:rsidRDefault="00AB42F8" w:rsidP="002619EA">
      <w:pPr>
        <w:widowControl w:val="0"/>
        <w:rPr>
          <w:rFonts w:ascii="Times New Roman" w:hAnsi="Times New Roman"/>
        </w:rPr>
      </w:pPr>
    </w:p>
    <w:p w:rsidR="00AB42F8" w:rsidRPr="00B51B93" w:rsidRDefault="00AB42F8" w:rsidP="002619EA">
      <w:pPr>
        <w:widowControl w:val="0"/>
        <w:rPr>
          <w:rFonts w:ascii="Times New Roman" w:hAnsi="Times New Roman"/>
        </w:rPr>
      </w:pPr>
    </w:p>
    <w:p w:rsidR="00AB42F8" w:rsidRPr="00B51B93" w:rsidRDefault="00AB42F8" w:rsidP="002619EA">
      <w:pPr>
        <w:widowControl w:val="0"/>
        <w:spacing w:after="120"/>
        <w:ind w:left="547" w:hanging="547"/>
        <w:rPr>
          <w:rFonts w:ascii="Times New Roman" w:hAnsi="Times New Roman"/>
        </w:rPr>
      </w:pPr>
      <w:r w:rsidRPr="00B51B93">
        <w:rPr>
          <w:rFonts w:ascii="Times New Roman" w:hAnsi="Times New Roman"/>
        </w:rPr>
        <w:lastRenderedPageBreak/>
        <w:t>1</w:t>
      </w:r>
      <w:r w:rsidR="001C13F5">
        <w:rPr>
          <w:rFonts w:ascii="Times New Roman" w:hAnsi="Times New Roman"/>
        </w:rPr>
        <w:t>8</w:t>
      </w:r>
      <w:r w:rsidRPr="00B51B93">
        <w:rPr>
          <w:rFonts w:ascii="Times New Roman" w:hAnsi="Times New Roman"/>
        </w:rPr>
        <w:t>.</w:t>
      </w:r>
      <w:r w:rsidRPr="00B51B93">
        <w:rPr>
          <w:rFonts w:ascii="Times New Roman" w:hAnsi="Times New Roman"/>
        </w:rPr>
        <w:tab/>
        <w:t>The series of $1,000 payments is a perpetuity</w:t>
      </w:r>
      <w:r w:rsidR="00BB507B">
        <w:rPr>
          <w:rFonts w:ascii="Times New Roman" w:hAnsi="Times New Roman"/>
        </w:rPr>
        <w:t xml:space="preserve">. </w:t>
      </w:r>
      <w:r w:rsidRPr="00B51B93">
        <w:rPr>
          <w:rFonts w:ascii="Times New Roman" w:hAnsi="Times New Roman"/>
        </w:rPr>
        <w:t>If beta is 0.5, the cash flow should be discounted at the rate:</w:t>
      </w:r>
    </w:p>
    <w:p w:rsidR="00AB42F8" w:rsidRPr="00B51B93" w:rsidRDefault="001C13F5" w:rsidP="002619EA">
      <w:pPr>
        <w:widowControl w:val="0"/>
        <w:spacing w:after="120"/>
        <w:ind w:left="1080" w:hanging="7"/>
        <w:rPr>
          <w:rFonts w:ascii="Times New Roman" w:hAnsi="Times New Roman"/>
        </w:rPr>
      </w:pPr>
      <w:r>
        <w:rPr>
          <w:rFonts w:ascii="Times New Roman" w:hAnsi="Times New Roman"/>
        </w:rPr>
        <w:t>.0</w:t>
      </w:r>
      <w:r w:rsidR="00AB42F8" w:rsidRPr="00B51B93">
        <w:rPr>
          <w:rFonts w:ascii="Times New Roman" w:hAnsi="Times New Roman"/>
        </w:rPr>
        <w:t xml:space="preserve">6 + [0.5 </w:t>
      </w:r>
      <w:r>
        <w:rPr>
          <w:rFonts w:ascii="Times New Roman" w:hAnsi="Times New Roman"/>
        </w:rPr>
        <w:t>×</w:t>
      </w:r>
      <w:r w:rsidR="00AB42F8" w:rsidRPr="00B51B9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.</w:t>
      </w:r>
      <w:r w:rsidR="00AB42F8" w:rsidRPr="00B51B93">
        <w:rPr>
          <w:rFonts w:ascii="Times New Roman" w:hAnsi="Times New Roman"/>
        </w:rPr>
        <w:t xml:space="preserve">16 – </w:t>
      </w:r>
      <w:r>
        <w:rPr>
          <w:rFonts w:ascii="Times New Roman" w:hAnsi="Times New Roman"/>
        </w:rPr>
        <w:t>.0</w:t>
      </w:r>
      <w:r w:rsidR="00AB42F8" w:rsidRPr="00B51B93">
        <w:rPr>
          <w:rFonts w:ascii="Times New Roman" w:hAnsi="Times New Roman"/>
        </w:rPr>
        <w:t xml:space="preserve">6)] = </w:t>
      </w:r>
      <w:r>
        <w:rPr>
          <w:rFonts w:ascii="Times New Roman" w:hAnsi="Times New Roman"/>
        </w:rPr>
        <w:t xml:space="preserve">.11 = </w:t>
      </w:r>
      <w:r w:rsidR="00AB42F8" w:rsidRPr="00B51B93">
        <w:rPr>
          <w:rFonts w:ascii="Times New Roman" w:hAnsi="Times New Roman"/>
        </w:rPr>
        <w:t>11%</w:t>
      </w:r>
    </w:p>
    <w:p w:rsidR="00AB42F8" w:rsidRPr="00B51B93" w:rsidRDefault="00AB42F8" w:rsidP="002619EA">
      <w:pPr>
        <w:widowControl w:val="0"/>
        <w:spacing w:after="120"/>
        <w:ind w:left="1080" w:hanging="7"/>
        <w:rPr>
          <w:rFonts w:ascii="Times New Roman" w:hAnsi="Times New Roman"/>
        </w:rPr>
      </w:pPr>
      <w:r w:rsidRPr="00B51B93">
        <w:rPr>
          <w:rFonts w:ascii="Times New Roman" w:hAnsi="Times New Roman"/>
        </w:rPr>
        <w:t>PV = $1,000/0.11 = $9,090.91</w:t>
      </w:r>
    </w:p>
    <w:p w:rsidR="00AB42F8" w:rsidRPr="00B51B93" w:rsidRDefault="00AB42F8" w:rsidP="002619EA">
      <w:pPr>
        <w:pStyle w:val="BodyTextIndent2"/>
        <w:spacing w:after="120"/>
        <w:ind w:left="547" w:hanging="7"/>
        <w:rPr>
          <w:rFonts w:ascii="Times New Roman" w:hAnsi="Times New Roman"/>
        </w:rPr>
      </w:pPr>
      <w:r w:rsidRPr="00B51B93">
        <w:rPr>
          <w:rFonts w:ascii="Times New Roman" w:hAnsi="Times New Roman"/>
        </w:rPr>
        <w:t>If, however, beta is equal to 1, then the investment should yield 16%, and the price paid for the firm should be:</w:t>
      </w:r>
    </w:p>
    <w:p w:rsidR="00AB42F8" w:rsidRPr="00B51B93" w:rsidRDefault="00AB42F8" w:rsidP="002619EA">
      <w:pPr>
        <w:pStyle w:val="Footer"/>
        <w:widowControl w:val="0"/>
        <w:tabs>
          <w:tab w:val="clear" w:pos="4320"/>
          <w:tab w:val="clear" w:pos="8640"/>
        </w:tabs>
        <w:spacing w:after="120"/>
        <w:ind w:left="1080" w:hanging="7"/>
        <w:rPr>
          <w:rFonts w:ascii="Times New Roman" w:hAnsi="Times New Roman"/>
        </w:rPr>
      </w:pPr>
      <w:r w:rsidRPr="00B51B93">
        <w:rPr>
          <w:rFonts w:ascii="Times New Roman" w:hAnsi="Times New Roman"/>
        </w:rPr>
        <w:t>PV = $1,000/0.16 = $6,250</w:t>
      </w:r>
    </w:p>
    <w:p w:rsidR="00AB42F8" w:rsidRPr="00B51B93" w:rsidRDefault="00AB42F8" w:rsidP="00B55C2C">
      <w:pPr>
        <w:widowControl w:val="0"/>
        <w:ind w:left="540"/>
        <w:rPr>
          <w:rFonts w:ascii="Times New Roman" w:hAnsi="Times New Roman"/>
        </w:rPr>
      </w:pPr>
      <w:r w:rsidRPr="00B51B93">
        <w:rPr>
          <w:rFonts w:ascii="Times New Roman" w:hAnsi="Times New Roman"/>
        </w:rPr>
        <w:t>The difference, $2,840.91, is the amount you will overpay if you erroneously assume that beta is 0.5 rather than 1.</w:t>
      </w:r>
    </w:p>
    <w:p w:rsidR="00854731" w:rsidRDefault="00854731" w:rsidP="00265A15">
      <w:pPr>
        <w:pStyle w:val="BodyTextIndent2"/>
        <w:ind w:left="0" w:firstLine="0"/>
        <w:rPr>
          <w:rFonts w:ascii="Times New Roman" w:hAnsi="Times New Roman"/>
        </w:rPr>
      </w:pPr>
    </w:p>
    <w:p w:rsidR="00854731" w:rsidRDefault="00854731" w:rsidP="00265A15">
      <w:pPr>
        <w:pStyle w:val="BodyTextIndent2"/>
        <w:ind w:left="0" w:firstLine="0"/>
        <w:rPr>
          <w:rFonts w:ascii="Times New Roman" w:hAnsi="Times New Roman"/>
        </w:rPr>
      </w:pPr>
    </w:p>
    <w:p w:rsidR="00ED3755" w:rsidRPr="00854731" w:rsidRDefault="004E6F09" w:rsidP="00265A15">
      <w:pPr>
        <w:pStyle w:val="BodyTextIndent2"/>
        <w:ind w:left="0" w:firstLine="0"/>
        <w:rPr>
          <w:rFonts w:ascii="Times New Roman" w:hAnsi="Times New Roman"/>
          <w:b/>
        </w:rPr>
      </w:pPr>
      <w:r w:rsidRPr="00854731">
        <w:rPr>
          <w:rFonts w:ascii="Times New Roman" w:hAnsi="Times New Roman"/>
          <w:b/>
        </w:rPr>
        <w:t xml:space="preserve">CFA PROBLEMS </w:t>
      </w:r>
    </w:p>
    <w:p w:rsidR="004E6F09" w:rsidRPr="00B51B93" w:rsidRDefault="004E6F09" w:rsidP="00AC7FBD">
      <w:pPr>
        <w:widowControl w:val="0"/>
        <w:ind w:right="-360"/>
        <w:rPr>
          <w:rFonts w:ascii="Times New Roman" w:hAnsi="Times New Roman"/>
        </w:rPr>
      </w:pPr>
    </w:p>
    <w:p w:rsidR="00461A7B" w:rsidRDefault="004E6F09" w:rsidP="00461A7B">
      <w:pPr>
        <w:widowControl w:val="0"/>
        <w:tabs>
          <w:tab w:val="left" w:pos="540"/>
        </w:tabs>
        <w:ind w:left="1080" w:right="-360" w:hanging="1080"/>
        <w:rPr>
          <w:rFonts w:ascii="Times New Roman" w:hAnsi="Times New Roman"/>
        </w:rPr>
      </w:pPr>
      <w:r w:rsidRPr="00B51B93">
        <w:rPr>
          <w:rFonts w:ascii="Times New Roman" w:hAnsi="Times New Roman"/>
        </w:rPr>
        <w:t>1</w:t>
      </w:r>
      <w:r w:rsidR="00461A7B" w:rsidRPr="00B51B93">
        <w:rPr>
          <w:rFonts w:ascii="Times New Roman" w:hAnsi="Times New Roman"/>
        </w:rPr>
        <w:t>.</w:t>
      </w:r>
      <w:r w:rsidR="00461A7B" w:rsidRPr="00B51B93">
        <w:rPr>
          <w:rFonts w:ascii="Times New Roman" w:hAnsi="Times New Roman"/>
        </w:rPr>
        <w:tab/>
        <w:t>a.</w:t>
      </w:r>
      <w:r w:rsidR="00461A7B" w:rsidRPr="00B51B93">
        <w:rPr>
          <w:rFonts w:ascii="Times New Roman" w:hAnsi="Times New Roman"/>
        </w:rPr>
        <w:tab/>
        <w:t>Agree; Regan’s conclusion is correct</w:t>
      </w:r>
      <w:r w:rsidR="00BB507B">
        <w:rPr>
          <w:rFonts w:ascii="Times New Roman" w:hAnsi="Times New Roman"/>
        </w:rPr>
        <w:t xml:space="preserve">. </w:t>
      </w:r>
      <w:r w:rsidR="00461A7B" w:rsidRPr="00B51B93">
        <w:rPr>
          <w:rFonts w:ascii="Times New Roman" w:hAnsi="Times New Roman"/>
        </w:rPr>
        <w:t>By definition, the market portfolio lies on the capital market line (CML)</w:t>
      </w:r>
      <w:r w:rsidR="00BB507B">
        <w:rPr>
          <w:rFonts w:ascii="Times New Roman" w:hAnsi="Times New Roman"/>
        </w:rPr>
        <w:t xml:space="preserve">. </w:t>
      </w:r>
      <w:r w:rsidR="00461A7B" w:rsidRPr="00B51B93">
        <w:rPr>
          <w:rFonts w:ascii="Times New Roman" w:hAnsi="Times New Roman"/>
        </w:rPr>
        <w:t>Under the assumptions of capital market theory, all portfolios on the CML dominate, in a risk-return sense, portfolios that lie on the Markowitz efficient frontier because, given that leverage is allowed, the CML creates a portfolio possibility line that is higher than all points on the efficient frontier except for the market portfolio, which is Rainbow’s portfolio</w:t>
      </w:r>
      <w:r w:rsidR="00BB507B">
        <w:rPr>
          <w:rFonts w:ascii="Times New Roman" w:hAnsi="Times New Roman"/>
        </w:rPr>
        <w:t xml:space="preserve">. </w:t>
      </w:r>
      <w:r w:rsidR="00461A7B" w:rsidRPr="00A76D3B">
        <w:rPr>
          <w:rFonts w:ascii="Times New Roman" w:hAnsi="Times New Roman"/>
          <w:color w:val="FF0000"/>
        </w:rPr>
        <w:t>Because Eagle’s portfolio lies on the Markowitz efficient frontier at a point other than the market portfolio, Rainbow’s portfolio dominates Eagle’s portfolio.</w:t>
      </w:r>
    </w:p>
    <w:p w:rsidR="00461A7B" w:rsidRPr="00B51B93" w:rsidRDefault="00461A7B" w:rsidP="00461A7B">
      <w:pPr>
        <w:autoSpaceDE w:val="0"/>
        <w:autoSpaceDN w:val="0"/>
        <w:adjustRightInd w:val="0"/>
        <w:rPr>
          <w:rFonts w:ascii="Times New Roman" w:hAnsi="Times New Roman"/>
        </w:rPr>
      </w:pPr>
    </w:p>
    <w:p w:rsidR="00461A7B" w:rsidRPr="00B51B93" w:rsidRDefault="00461A7B" w:rsidP="00461A7B">
      <w:pPr>
        <w:autoSpaceDE w:val="0"/>
        <w:autoSpaceDN w:val="0"/>
        <w:adjustRightInd w:val="0"/>
        <w:spacing w:after="120"/>
        <w:ind w:left="1094" w:right="-360" w:hanging="547"/>
        <w:rPr>
          <w:rFonts w:ascii="Times New Roman" w:hAnsi="Times New Roman"/>
        </w:rPr>
      </w:pPr>
      <w:r w:rsidRPr="00B51B93">
        <w:rPr>
          <w:rFonts w:ascii="Times New Roman" w:hAnsi="Times New Roman"/>
        </w:rPr>
        <w:t>b.</w:t>
      </w:r>
      <w:r w:rsidRPr="00B51B93">
        <w:rPr>
          <w:rFonts w:ascii="Times New Roman" w:hAnsi="Times New Roman"/>
        </w:rPr>
        <w:tab/>
      </w:r>
      <w:r w:rsidR="00494C34" w:rsidRPr="00B51B93">
        <w:rPr>
          <w:rFonts w:ascii="Times New Roman" w:hAnsi="Times New Roman"/>
        </w:rPr>
        <w:t>Non</w:t>
      </w:r>
      <w:r w:rsidRPr="00B51B93">
        <w:rPr>
          <w:rFonts w:ascii="Times New Roman" w:hAnsi="Times New Roman"/>
        </w:rPr>
        <w:t>systematic risk is the unique risk of individual stocks in a portfolio that is diversified away by holding a well-diversified portfolio</w:t>
      </w:r>
      <w:r w:rsidR="00BB507B">
        <w:rPr>
          <w:rFonts w:ascii="Times New Roman" w:hAnsi="Times New Roman"/>
        </w:rPr>
        <w:t xml:space="preserve">. </w:t>
      </w:r>
      <w:r w:rsidRPr="00B51B93">
        <w:rPr>
          <w:rFonts w:ascii="Times New Roman" w:hAnsi="Times New Roman"/>
        </w:rPr>
        <w:t xml:space="preserve">Total risk is composed of systematic (market) risk and </w:t>
      </w:r>
      <w:r w:rsidR="00494C34" w:rsidRPr="00B51B93">
        <w:rPr>
          <w:rFonts w:ascii="Times New Roman" w:hAnsi="Times New Roman"/>
        </w:rPr>
        <w:t>non</w:t>
      </w:r>
      <w:r w:rsidRPr="00B51B93">
        <w:rPr>
          <w:rFonts w:ascii="Times New Roman" w:hAnsi="Times New Roman"/>
        </w:rPr>
        <w:t>systematic (firm-specific) risk.</w:t>
      </w:r>
    </w:p>
    <w:p w:rsidR="00461A7B" w:rsidRPr="00B51B93" w:rsidRDefault="00461A7B" w:rsidP="00461A7B">
      <w:pPr>
        <w:autoSpaceDE w:val="0"/>
        <w:autoSpaceDN w:val="0"/>
        <w:adjustRightInd w:val="0"/>
        <w:ind w:left="1080" w:right="-360"/>
        <w:rPr>
          <w:rFonts w:ascii="Times New Roman" w:hAnsi="Times New Roman"/>
        </w:rPr>
      </w:pPr>
      <w:r w:rsidRPr="00B51B93">
        <w:rPr>
          <w:rFonts w:ascii="Times New Roman" w:hAnsi="Times New Roman"/>
        </w:rPr>
        <w:t>Disagree; Wilson’s remark is incorrect</w:t>
      </w:r>
      <w:r w:rsidR="00BB507B">
        <w:rPr>
          <w:rFonts w:ascii="Times New Roman" w:hAnsi="Times New Roman"/>
        </w:rPr>
        <w:t xml:space="preserve">. </w:t>
      </w:r>
      <w:r w:rsidRPr="00B51B93">
        <w:rPr>
          <w:rFonts w:ascii="Times New Roman" w:hAnsi="Times New Roman"/>
        </w:rPr>
        <w:t xml:space="preserve">Because both portfolios lie on the Markowitz efficient frontier, neither Eagle nor Rainbow has any </w:t>
      </w:r>
      <w:r w:rsidR="00494C34" w:rsidRPr="00B51B93">
        <w:rPr>
          <w:rFonts w:ascii="Times New Roman" w:hAnsi="Times New Roman"/>
        </w:rPr>
        <w:t>non</w:t>
      </w:r>
      <w:r w:rsidRPr="00B51B93">
        <w:rPr>
          <w:rFonts w:ascii="Times New Roman" w:hAnsi="Times New Roman"/>
        </w:rPr>
        <w:t>systematic risk</w:t>
      </w:r>
      <w:r w:rsidR="00BB507B">
        <w:rPr>
          <w:rFonts w:ascii="Times New Roman" w:hAnsi="Times New Roman"/>
        </w:rPr>
        <w:t xml:space="preserve">. </w:t>
      </w:r>
      <w:r w:rsidRPr="00B51B93">
        <w:rPr>
          <w:rFonts w:ascii="Times New Roman" w:hAnsi="Times New Roman"/>
        </w:rPr>
        <w:t xml:space="preserve">Therefore, </w:t>
      </w:r>
      <w:r w:rsidR="00494C34" w:rsidRPr="00B51B93">
        <w:rPr>
          <w:rFonts w:ascii="Times New Roman" w:hAnsi="Times New Roman"/>
        </w:rPr>
        <w:t>non</w:t>
      </w:r>
      <w:r w:rsidRPr="00B51B93">
        <w:rPr>
          <w:rFonts w:ascii="Times New Roman" w:hAnsi="Times New Roman"/>
        </w:rPr>
        <w:t>systematic risk does not explain the different expected returns</w:t>
      </w:r>
      <w:r w:rsidR="00BB507B">
        <w:rPr>
          <w:rFonts w:ascii="Times New Roman" w:hAnsi="Times New Roman"/>
        </w:rPr>
        <w:t xml:space="preserve">. </w:t>
      </w:r>
      <w:r w:rsidRPr="00A76D3B">
        <w:rPr>
          <w:rFonts w:ascii="Times New Roman" w:hAnsi="Times New Roman"/>
          <w:color w:val="FF0000"/>
        </w:rPr>
        <w:t>The determining factor is that Rainbow lies on the (straight) line (the CML) connecting the risk-free asset and the market portfolio (Rainbow), at the point of tangency to the Markowitz efficient frontier having the highest return per unit of risk</w:t>
      </w:r>
      <w:r w:rsidR="00BB507B" w:rsidRPr="00A76D3B">
        <w:rPr>
          <w:rFonts w:ascii="Times New Roman" w:hAnsi="Times New Roman"/>
          <w:color w:val="FF0000"/>
        </w:rPr>
        <w:t xml:space="preserve">. </w:t>
      </w:r>
      <w:r w:rsidRPr="00A76D3B">
        <w:rPr>
          <w:rFonts w:ascii="Times New Roman" w:hAnsi="Times New Roman"/>
          <w:color w:val="FF0000"/>
        </w:rPr>
        <w:t xml:space="preserve">Wilson’s remark is also countered by the fact that, since </w:t>
      </w:r>
      <w:r w:rsidR="00494C34" w:rsidRPr="00A76D3B">
        <w:rPr>
          <w:rFonts w:ascii="Times New Roman" w:hAnsi="Times New Roman"/>
          <w:color w:val="FF0000"/>
        </w:rPr>
        <w:t>non</w:t>
      </w:r>
      <w:r w:rsidRPr="00A76D3B">
        <w:rPr>
          <w:rFonts w:ascii="Times New Roman" w:hAnsi="Times New Roman"/>
          <w:color w:val="FF0000"/>
        </w:rPr>
        <w:t xml:space="preserve">systematic risk can be eliminated by diversification, the expected return for bearing </w:t>
      </w:r>
      <w:r w:rsidR="00494C34" w:rsidRPr="00A76D3B">
        <w:rPr>
          <w:rFonts w:ascii="Times New Roman" w:hAnsi="Times New Roman"/>
          <w:color w:val="FF0000"/>
        </w:rPr>
        <w:t>non</w:t>
      </w:r>
      <w:r w:rsidRPr="00A76D3B">
        <w:rPr>
          <w:rFonts w:ascii="Times New Roman" w:hAnsi="Times New Roman"/>
          <w:color w:val="FF0000"/>
        </w:rPr>
        <w:t>systematic</w:t>
      </w:r>
      <w:r w:rsidR="00634B5D" w:rsidRPr="00A76D3B">
        <w:rPr>
          <w:rFonts w:ascii="Times New Roman" w:hAnsi="Times New Roman"/>
          <w:color w:val="FF0000"/>
        </w:rPr>
        <w:t xml:space="preserve"> risk</w:t>
      </w:r>
      <w:r w:rsidRPr="00A76D3B">
        <w:rPr>
          <w:rFonts w:ascii="Times New Roman" w:hAnsi="Times New Roman"/>
          <w:color w:val="FF0000"/>
        </w:rPr>
        <w:t xml:space="preserve"> is zero</w:t>
      </w:r>
      <w:r w:rsidR="00BB507B" w:rsidRPr="00A76D3B">
        <w:rPr>
          <w:rFonts w:ascii="Times New Roman" w:hAnsi="Times New Roman"/>
          <w:color w:val="FF0000"/>
        </w:rPr>
        <w:t xml:space="preserve">. </w:t>
      </w:r>
      <w:r w:rsidRPr="00A76D3B">
        <w:rPr>
          <w:rFonts w:ascii="Times New Roman" w:hAnsi="Times New Roman"/>
          <w:color w:val="FF0000"/>
        </w:rPr>
        <w:t>This is a result of the fact that well-diversified investors bid up the price of every asset to the point where only systematic risk earns a positive return (</w:t>
      </w:r>
      <w:r w:rsidR="00494C34" w:rsidRPr="00A76D3B">
        <w:rPr>
          <w:rFonts w:ascii="Times New Roman" w:hAnsi="Times New Roman"/>
          <w:color w:val="FF0000"/>
        </w:rPr>
        <w:t>non</w:t>
      </w:r>
      <w:r w:rsidRPr="00A76D3B">
        <w:rPr>
          <w:rFonts w:ascii="Times New Roman" w:hAnsi="Times New Roman"/>
          <w:color w:val="FF0000"/>
        </w:rPr>
        <w:t>systematic risk earns no return).</w:t>
      </w:r>
    </w:p>
    <w:p w:rsidR="00AC7FBD" w:rsidRPr="00B51B93" w:rsidRDefault="00AC7FBD" w:rsidP="00AC7FBD">
      <w:pPr>
        <w:autoSpaceDE w:val="0"/>
        <w:autoSpaceDN w:val="0"/>
        <w:adjustRightInd w:val="0"/>
        <w:ind w:right="-360"/>
        <w:rPr>
          <w:rFonts w:ascii="Times New Roman" w:hAnsi="Times New Roman"/>
        </w:rPr>
      </w:pPr>
    </w:p>
    <w:p w:rsidR="00461A7B" w:rsidRPr="00FC27FA" w:rsidRDefault="004E6F09" w:rsidP="00AC7FBD">
      <w:pPr>
        <w:tabs>
          <w:tab w:val="left" w:pos="540"/>
        </w:tabs>
        <w:autoSpaceDE w:val="0"/>
        <w:autoSpaceDN w:val="0"/>
        <w:adjustRightInd w:val="0"/>
        <w:spacing w:after="120"/>
        <w:ind w:right="-360"/>
        <w:rPr>
          <w:rFonts w:ascii="Times New Roman" w:hAnsi="Times New Roman"/>
          <w:lang w:val="es-MX"/>
        </w:rPr>
      </w:pPr>
      <w:r w:rsidRPr="00FC27FA">
        <w:rPr>
          <w:rFonts w:ascii="Times New Roman" w:hAnsi="Times New Roman"/>
          <w:lang w:val="es-MX"/>
        </w:rPr>
        <w:t>2</w:t>
      </w:r>
      <w:r w:rsidR="00461A7B" w:rsidRPr="00FC27FA">
        <w:rPr>
          <w:rFonts w:ascii="Times New Roman" w:hAnsi="Times New Roman"/>
          <w:lang w:val="es-MX"/>
        </w:rPr>
        <w:t>.</w:t>
      </w:r>
      <w:r w:rsidR="00461A7B" w:rsidRPr="00FC27FA">
        <w:rPr>
          <w:rFonts w:ascii="Times New Roman" w:hAnsi="Times New Roman"/>
          <w:lang w:val="es-MX"/>
        </w:rPr>
        <w:tab/>
      </w:r>
      <w:r w:rsidR="00461A7B" w:rsidRPr="00962782">
        <w:rPr>
          <w:rFonts w:ascii="Times New Roman" w:hAnsi="Times New Roman"/>
          <w:i/>
          <w:lang w:val="es-MX"/>
        </w:rPr>
        <w:t>E</w:t>
      </w:r>
      <w:r w:rsidR="00461A7B" w:rsidRPr="00FC27FA">
        <w:rPr>
          <w:rFonts w:ascii="Times New Roman" w:hAnsi="Times New Roman"/>
          <w:lang w:val="es-MX"/>
        </w:rPr>
        <w:t>(</w:t>
      </w:r>
      <w:r w:rsidR="00461A7B" w:rsidRPr="00962782">
        <w:rPr>
          <w:rFonts w:ascii="Times New Roman" w:hAnsi="Times New Roman"/>
          <w:i/>
          <w:lang w:val="es-MX"/>
        </w:rPr>
        <w:t>r</w:t>
      </w:r>
      <w:r w:rsidR="00461A7B" w:rsidRPr="00FC27FA">
        <w:rPr>
          <w:rFonts w:ascii="Times New Roman" w:hAnsi="Times New Roman"/>
          <w:lang w:val="es-MX"/>
        </w:rPr>
        <w:t xml:space="preserve">) = </w:t>
      </w:r>
      <w:r w:rsidR="00461A7B" w:rsidRPr="00962782">
        <w:rPr>
          <w:rFonts w:ascii="Times New Roman" w:hAnsi="Times New Roman"/>
          <w:i/>
          <w:lang w:val="es-MX"/>
        </w:rPr>
        <w:t>r</w:t>
      </w:r>
      <w:r w:rsidR="00461A7B" w:rsidRPr="00962782">
        <w:rPr>
          <w:rFonts w:ascii="Times New Roman" w:hAnsi="Times New Roman"/>
          <w:i/>
          <w:vertAlign w:val="subscript"/>
          <w:lang w:val="es-MX"/>
        </w:rPr>
        <w:t>f</w:t>
      </w:r>
      <w:r w:rsidR="00461A7B" w:rsidRPr="00FC27FA">
        <w:rPr>
          <w:rFonts w:ascii="Times New Roman" w:hAnsi="Times New Roman"/>
          <w:lang w:val="es-MX"/>
        </w:rPr>
        <w:t xml:space="preserve"> + </w:t>
      </w:r>
      <w:r w:rsidR="00461A7B" w:rsidRPr="00B51B93">
        <w:rPr>
          <w:rFonts w:ascii="Times New Roman" w:hAnsi="Times New Roman"/>
        </w:rPr>
        <w:t>β</w:t>
      </w:r>
      <w:r w:rsidR="00461A7B" w:rsidRPr="00FC27FA">
        <w:rPr>
          <w:rFonts w:ascii="Times New Roman" w:hAnsi="Times New Roman"/>
          <w:lang w:val="es-MX"/>
        </w:rPr>
        <w:t xml:space="preserve"> × [</w:t>
      </w:r>
      <w:r w:rsidR="00461A7B" w:rsidRPr="00962782">
        <w:rPr>
          <w:rFonts w:ascii="Times New Roman" w:hAnsi="Times New Roman"/>
          <w:i/>
          <w:lang w:val="es-MX"/>
        </w:rPr>
        <w:t>E</w:t>
      </w:r>
      <w:r w:rsidR="00461A7B" w:rsidRPr="00FC27FA">
        <w:rPr>
          <w:rFonts w:ascii="Times New Roman" w:hAnsi="Times New Roman"/>
          <w:lang w:val="es-MX"/>
        </w:rPr>
        <w:t>(</w:t>
      </w:r>
      <w:r w:rsidR="00461A7B" w:rsidRPr="00962782">
        <w:rPr>
          <w:rFonts w:ascii="Times New Roman" w:hAnsi="Times New Roman"/>
          <w:i/>
          <w:lang w:val="es-MX"/>
        </w:rPr>
        <w:t>r</w:t>
      </w:r>
      <w:r w:rsidR="00461A7B" w:rsidRPr="00962782">
        <w:rPr>
          <w:rFonts w:ascii="Times New Roman" w:hAnsi="Times New Roman"/>
          <w:i/>
          <w:sz w:val="16"/>
          <w:szCs w:val="16"/>
          <w:lang w:val="es-MX"/>
        </w:rPr>
        <w:t xml:space="preserve"> </w:t>
      </w:r>
      <w:r w:rsidR="00461A7B" w:rsidRPr="00962782">
        <w:rPr>
          <w:rFonts w:ascii="Times New Roman" w:hAnsi="Times New Roman"/>
          <w:i/>
          <w:vertAlign w:val="subscript"/>
          <w:lang w:val="es-MX"/>
        </w:rPr>
        <w:t>M</w:t>
      </w:r>
      <w:r w:rsidR="00461A7B" w:rsidRPr="00FC27FA">
        <w:rPr>
          <w:rFonts w:ascii="Times New Roman" w:hAnsi="Times New Roman"/>
          <w:sz w:val="16"/>
          <w:szCs w:val="16"/>
          <w:vertAlign w:val="subscript"/>
          <w:lang w:val="es-MX"/>
        </w:rPr>
        <w:t xml:space="preserve"> </w:t>
      </w:r>
      <w:r w:rsidR="00461A7B" w:rsidRPr="00FC27FA">
        <w:rPr>
          <w:rFonts w:ascii="Times New Roman" w:hAnsi="Times New Roman"/>
          <w:lang w:val="es-MX"/>
        </w:rPr>
        <w:t xml:space="preserve">) − </w:t>
      </w:r>
      <w:r w:rsidR="00461A7B" w:rsidRPr="00962782">
        <w:rPr>
          <w:rFonts w:ascii="Times New Roman" w:hAnsi="Times New Roman"/>
          <w:i/>
          <w:lang w:val="es-MX"/>
        </w:rPr>
        <w:t>r</w:t>
      </w:r>
      <w:r w:rsidR="00461A7B" w:rsidRPr="00962782">
        <w:rPr>
          <w:rFonts w:ascii="Times New Roman" w:hAnsi="Times New Roman"/>
          <w:i/>
          <w:vertAlign w:val="subscript"/>
          <w:lang w:val="es-MX"/>
        </w:rPr>
        <w:t>f</w:t>
      </w:r>
      <w:r w:rsidR="00461A7B" w:rsidRPr="00FC27FA">
        <w:rPr>
          <w:rFonts w:ascii="Times New Roman" w:hAnsi="Times New Roman"/>
          <w:sz w:val="16"/>
          <w:szCs w:val="16"/>
          <w:lang w:val="es-MX"/>
        </w:rPr>
        <w:t xml:space="preserve"> </w:t>
      </w:r>
      <w:r w:rsidR="00461A7B" w:rsidRPr="00FC27FA">
        <w:rPr>
          <w:rFonts w:ascii="Times New Roman" w:hAnsi="Times New Roman"/>
          <w:lang w:val="es-MX"/>
        </w:rPr>
        <w:t>]</w:t>
      </w:r>
    </w:p>
    <w:p w:rsidR="00461A7B" w:rsidRPr="00FC27FA" w:rsidRDefault="00461A7B" w:rsidP="00AC7FBD">
      <w:pPr>
        <w:autoSpaceDE w:val="0"/>
        <w:autoSpaceDN w:val="0"/>
        <w:adjustRightInd w:val="0"/>
        <w:spacing w:after="120"/>
        <w:ind w:left="547" w:hanging="7"/>
        <w:rPr>
          <w:rFonts w:ascii="Times New Roman" w:hAnsi="Times New Roman"/>
          <w:lang w:val="es-MX"/>
        </w:rPr>
      </w:pPr>
      <w:r w:rsidRPr="00FC27FA">
        <w:rPr>
          <w:rFonts w:ascii="Times New Roman" w:hAnsi="Times New Roman"/>
          <w:lang w:val="es-MX"/>
        </w:rPr>
        <w:t>Fu</w:t>
      </w:r>
      <w:r w:rsidR="00CF3FB1" w:rsidRPr="00FC27FA">
        <w:rPr>
          <w:rFonts w:ascii="Times New Roman" w:hAnsi="Times New Roman"/>
          <w:lang w:val="es-MX"/>
        </w:rPr>
        <w:t>r</w:t>
      </w:r>
      <w:r w:rsidRPr="00FC27FA">
        <w:rPr>
          <w:rFonts w:ascii="Times New Roman" w:hAnsi="Times New Roman"/>
          <w:lang w:val="es-MX"/>
        </w:rPr>
        <w:t xml:space="preserve">hman Labs: </w:t>
      </w:r>
      <w:r w:rsidRPr="00962782">
        <w:rPr>
          <w:rFonts w:ascii="Times New Roman" w:hAnsi="Times New Roman"/>
          <w:i/>
          <w:lang w:val="es-MX"/>
        </w:rPr>
        <w:t>E</w:t>
      </w:r>
      <w:r w:rsidRPr="00FC27FA">
        <w:rPr>
          <w:rFonts w:ascii="Times New Roman" w:hAnsi="Times New Roman"/>
          <w:lang w:val="es-MX"/>
        </w:rPr>
        <w:t>(</w:t>
      </w:r>
      <w:r w:rsidRPr="00962782">
        <w:rPr>
          <w:rFonts w:ascii="Times New Roman" w:hAnsi="Times New Roman"/>
          <w:i/>
          <w:lang w:val="es-MX"/>
        </w:rPr>
        <w:t>r</w:t>
      </w:r>
      <w:r w:rsidRPr="00FC27FA">
        <w:rPr>
          <w:rFonts w:ascii="Times New Roman" w:hAnsi="Times New Roman"/>
          <w:lang w:val="es-MX"/>
        </w:rPr>
        <w:t xml:space="preserve">) = </w:t>
      </w:r>
      <w:r w:rsidR="00854731" w:rsidRPr="00FC27FA">
        <w:rPr>
          <w:rFonts w:ascii="Times New Roman" w:hAnsi="Times New Roman"/>
          <w:lang w:val="es-MX"/>
        </w:rPr>
        <w:t>.0</w:t>
      </w:r>
      <w:r w:rsidRPr="00FC27FA">
        <w:rPr>
          <w:rFonts w:ascii="Times New Roman" w:hAnsi="Times New Roman"/>
          <w:lang w:val="es-MX"/>
        </w:rPr>
        <w:t>5 + 1.5 × [</w:t>
      </w:r>
      <w:r w:rsidR="00854731" w:rsidRPr="00FC27FA">
        <w:rPr>
          <w:rFonts w:ascii="Times New Roman" w:hAnsi="Times New Roman"/>
          <w:lang w:val="es-MX"/>
        </w:rPr>
        <w:t>.11</w:t>
      </w:r>
      <w:r w:rsidRPr="00FC27FA">
        <w:rPr>
          <w:rFonts w:ascii="Times New Roman" w:hAnsi="Times New Roman"/>
          <w:lang w:val="es-MX"/>
        </w:rPr>
        <w:t xml:space="preserve">5 − </w:t>
      </w:r>
      <w:r w:rsidR="00854731" w:rsidRPr="00FC27FA">
        <w:rPr>
          <w:rFonts w:ascii="Times New Roman" w:hAnsi="Times New Roman"/>
          <w:lang w:val="es-MX"/>
        </w:rPr>
        <w:t>.0</w:t>
      </w:r>
      <w:r w:rsidRPr="00FC27FA">
        <w:rPr>
          <w:rFonts w:ascii="Times New Roman" w:hAnsi="Times New Roman"/>
          <w:lang w:val="es-MX"/>
        </w:rPr>
        <w:t>5] = 14.75%</w:t>
      </w:r>
    </w:p>
    <w:p w:rsidR="00461A7B" w:rsidRPr="00FC27FA" w:rsidRDefault="00461A7B" w:rsidP="00AC7FBD">
      <w:pPr>
        <w:autoSpaceDE w:val="0"/>
        <w:autoSpaceDN w:val="0"/>
        <w:adjustRightInd w:val="0"/>
        <w:spacing w:after="120"/>
        <w:ind w:left="547" w:hanging="7"/>
        <w:rPr>
          <w:rFonts w:ascii="Times New Roman" w:hAnsi="Times New Roman"/>
          <w:lang w:val="es-MX"/>
        </w:rPr>
      </w:pPr>
      <w:r w:rsidRPr="00FC27FA">
        <w:rPr>
          <w:rFonts w:ascii="Times New Roman" w:hAnsi="Times New Roman"/>
          <w:lang w:val="es-MX"/>
        </w:rPr>
        <w:t>Garten Testi</w:t>
      </w:r>
      <w:r w:rsidR="00854731" w:rsidRPr="00FC27FA">
        <w:rPr>
          <w:rFonts w:ascii="Times New Roman" w:hAnsi="Times New Roman"/>
          <w:lang w:val="es-MX"/>
        </w:rPr>
        <w:t xml:space="preserve">ng: </w:t>
      </w:r>
      <w:r w:rsidR="00854731" w:rsidRPr="00962782">
        <w:rPr>
          <w:rFonts w:ascii="Times New Roman" w:hAnsi="Times New Roman"/>
          <w:i/>
          <w:lang w:val="es-MX"/>
        </w:rPr>
        <w:t>E</w:t>
      </w:r>
      <w:r w:rsidR="00854731" w:rsidRPr="00FC27FA">
        <w:rPr>
          <w:rFonts w:ascii="Times New Roman" w:hAnsi="Times New Roman"/>
          <w:lang w:val="es-MX"/>
        </w:rPr>
        <w:t>(</w:t>
      </w:r>
      <w:r w:rsidR="00854731" w:rsidRPr="00962782">
        <w:rPr>
          <w:rFonts w:ascii="Times New Roman" w:hAnsi="Times New Roman"/>
          <w:i/>
          <w:lang w:val="es-MX"/>
        </w:rPr>
        <w:t>r</w:t>
      </w:r>
      <w:r w:rsidR="00854731" w:rsidRPr="00FC27FA">
        <w:rPr>
          <w:rFonts w:ascii="Times New Roman" w:hAnsi="Times New Roman"/>
          <w:lang w:val="es-MX"/>
        </w:rPr>
        <w:t>) = .05 + 0.8 × [.115 − .05</w:t>
      </w:r>
      <w:r w:rsidRPr="00FC27FA">
        <w:rPr>
          <w:rFonts w:ascii="Times New Roman" w:hAnsi="Times New Roman"/>
          <w:lang w:val="es-MX"/>
        </w:rPr>
        <w:t>] = 10.20%</w:t>
      </w:r>
    </w:p>
    <w:p w:rsidR="00461A7B" w:rsidRPr="00B51B93" w:rsidRDefault="00461A7B" w:rsidP="00AC7FBD">
      <w:pPr>
        <w:autoSpaceDE w:val="0"/>
        <w:autoSpaceDN w:val="0"/>
        <w:adjustRightInd w:val="0"/>
        <w:spacing w:after="120"/>
        <w:ind w:left="547" w:hanging="7"/>
        <w:rPr>
          <w:rFonts w:ascii="Times New Roman" w:hAnsi="Times New Roman"/>
        </w:rPr>
      </w:pPr>
      <w:r w:rsidRPr="00B51B93">
        <w:rPr>
          <w:rFonts w:ascii="Times New Roman" w:hAnsi="Times New Roman"/>
        </w:rPr>
        <w:lastRenderedPageBreak/>
        <w:t>If the forecast rate of return is less than (greater than) the required rate of return, then the security is overvalued (undervalued).</w:t>
      </w:r>
    </w:p>
    <w:p w:rsidR="00461A7B" w:rsidRPr="00A76D3B" w:rsidRDefault="00CF3FB1" w:rsidP="00AC7FBD">
      <w:pPr>
        <w:autoSpaceDE w:val="0"/>
        <w:autoSpaceDN w:val="0"/>
        <w:adjustRightInd w:val="0"/>
        <w:spacing w:after="120"/>
        <w:ind w:left="547" w:hanging="7"/>
        <w:rPr>
          <w:rFonts w:ascii="Times New Roman" w:hAnsi="Times New Roman"/>
          <w:color w:val="FF0000"/>
        </w:rPr>
      </w:pPr>
      <w:proofErr w:type="spellStart"/>
      <w:r w:rsidRPr="00A76D3B">
        <w:rPr>
          <w:rFonts w:ascii="Times New Roman" w:hAnsi="Times New Roman"/>
          <w:color w:val="FF0000"/>
        </w:rPr>
        <w:t>Furh</w:t>
      </w:r>
      <w:r w:rsidR="00461A7B" w:rsidRPr="00A76D3B">
        <w:rPr>
          <w:rFonts w:ascii="Times New Roman" w:hAnsi="Times New Roman"/>
          <w:color w:val="FF0000"/>
        </w:rPr>
        <w:t>man</w:t>
      </w:r>
      <w:proofErr w:type="spellEnd"/>
      <w:r w:rsidR="00461A7B" w:rsidRPr="00A76D3B">
        <w:rPr>
          <w:rFonts w:ascii="Times New Roman" w:hAnsi="Times New Roman"/>
          <w:color w:val="FF0000"/>
        </w:rPr>
        <w:t xml:space="preserve"> Labs: Forecast return – Required return = 13.25% − 14.75% = −1.50%</w:t>
      </w:r>
    </w:p>
    <w:p w:rsidR="00461A7B" w:rsidRPr="00A76D3B" w:rsidRDefault="00461A7B" w:rsidP="00AC7FBD">
      <w:pPr>
        <w:autoSpaceDE w:val="0"/>
        <w:autoSpaceDN w:val="0"/>
        <w:adjustRightInd w:val="0"/>
        <w:spacing w:after="120"/>
        <w:ind w:left="547" w:hanging="7"/>
        <w:rPr>
          <w:rFonts w:ascii="Times New Roman" w:hAnsi="Times New Roman"/>
          <w:color w:val="FF0000"/>
        </w:rPr>
      </w:pPr>
      <w:r w:rsidRPr="00A76D3B">
        <w:rPr>
          <w:rFonts w:ascii="Times New Roman" w:hAnsi="Times New Roman"/>
          <w:color w:val="FF0000"/>
        </w:rPr>
        <w:t>Garten Testing: Forecast return – Required return = 11.25% − 10.20% = 1.05%</w:t>
      </w:r>
    </w:p>
    <w:p w:rsidR="00461A7B" w:rsidRPr="00B51B93" w:rsidRDefault="00461A7B" w:rsidP="00461A7B">
      <w:pPr>
        <w:autoSpaceDE w:val="0"/>
        <w:autoSpaceDN w:val="0"/>
        <w:adjustRightInd w:val="0"/>
        <w:ind w:left="547"/>
        <w:rPr>
          <w:rFonts w:ascii="Times New Roman" w:hAnsi="Times New Roman"/>
        </w:rPr>
      </w:pPr>
      <w:r w:rsidRPr="00A76D3B">
        <w:rPr>
          <w:rFonts w:ascii="Times New Roman" w:hAnsi="Times New Roman"/>
          <w:color w:val="FF0000"/>
        </w:rPr>
        <w:t xml:space="preserve">Therefore, </w:t>
      </w:r>
      <w:proofErr w:type="spellStart"/>
      <w:r w:rsidRPr="00A76D3B">
        <w:rPr>
          <w:rFonts w:ascii="Times New Roman" w:hAnsi="Times New Roman"/>
          <w:color w:val="FF0000"/>
        </w:rPr>
        <w:t>Fu</w:t>
      </w:r>
      <w:r w:rsidR="00CF3FB1" w:rsidRPr="00A76D3B">
        <w:rPr>
          <w:rFonts w:ascii="Times New Roman" w:hAnsi="Times New Roman"/>
          <w:color w:val="FF0000"/>
        </w:rPr>
        <w:t>r</w:t>
      </w:r>
      <w:r w:rsidRPr="00A76D3B">
        <w:rPr>
          <w:rFonts w:ascii="Times New Roman" w:hAnsi="Times New Roman"/>
          <w:color w:val="FF0000"/>
        </w:rPr>
        <w:t>hman</w:t>
      </w:r>
      <w:proofErr w:type="spellEnd"/>
      <w:r w:rsidRPr="00A76D3B">
        <w:rPr>
          <w:rFonts w:ascii="Times New Roman" w:hAnsi="Times New Roman"/>
          <w:color w:val="FF0000"/>
        </w:rPr>
        <w:t xml:space="preserve"> Labs is overvalued and Garten Testing is undervalued.</w:t>
      </w:r>
    </w:p>
    <w:p w:rsidR="004B0501" w:rsidRPr="00B51B93" w:rsidRDefault="004B0501" w:rsidP="004B0501">
      <w:pPr>
        <w:pStyle w:val="BodyTextIndent3"/>
        <w:tabs>
          <w:tab w:val="clear" w:pos="1160"/>
        </w:tabs>
        <w:spacing w:line="200" w:lineRule="exact"/>
        <w:ind w:left="0"/>
        <w:rPr>
          <w:rFonts w:ascii="Times New Roman" w:hAnsi="Times New Roman"/>
        </w:rPr>
      </w:pPr>
    </w:p>
    <w:p w:rsidR="004B0501" w:rsidRPr="00B51B93" w:rsidRDefault="004B0501" w:rsidP="004B0501">
      <w:pPr>
        <w:pStyle w:val="BodyTextIndent3"/>
        <w:tabs>
          <w:tab w:val="clear" w:pos="1160"/>
        </w:tabs>
        <w:spacing w:line="200" w:lineRule="exact"/>
        <w:ind w:left="0"/>
        <w:rPr>
          <w:rFonts w:ascii="Times New Roman" w:hAnsi="Times New Roman"/>
        </w:rPr>
      </w:pPr>
    </w:p>
    <w:sectPr w:rsidR="004B0501" w:rsidRPr="00B51B93" w:rsidSect="00FB1C81">
      <w:headerReference w:type="default" r:id="rId15"/>
      <w:footerReference w:type="default" r:id="rId16"/>
      <w:footnotePr>
        <w:numFmt w:val="lowerRoman"/>
      </w:footnotePr>
      <w:endnotePr>
        <w:numFmt w:val="decimal"/>
        <w:numRestart w:val="eachSect"/>
      </w:endnotePr>
      <w:type w:val="continuous"/>
      <w:pgSz w:w="12240" w:h="15840"/>
      <w:pgMar w:top="1440" w:right="1800" w:bottom="1296" w:left="1800" w:header="709" w:footer="432" w:gutter="0"/>
      <w:pgNumType w:start="1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7D5D" w:rsidRDefault="006D7D5D">
      <w:r>
        <w:separator/>
      </w:r>
    </w:p>
  </w:endnote>
  <w:endnote w:type="continuationSeparator" w:id="0">
    <w:p w:rsidR="006D7D5D" w:rsidRDefault="006D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9EA" w:rsidRDefault="0005153F">
    <w:pPr>
      <w:pStyle w:val="Footer"/>
      <w:spacing w:line="480" w:lineRule="atLeast"/>
      <w:jc w:val="center"/>
      <w:rPr>
        <w:rStyle w:val="PageNumber"/>
        <w:rFonts w:ascii="Times New Roman" w:hAnsi="Times New Roman"/>
        <w:sz w:val="20"/>
      </w:rPr>
    </w:pPr>
    <w:r w:rsidRPr="00364EE3">
      <w:rPr>
        <w:rStyle w:val="PageNumber"/>
        <w:rFonts w:ascii="Times New Roman" w:hAnsi="Times New Roman"/>
        <w:sz w:val="20"/>
      </w:rPr>
      <w:t>9-</w:t>
    </w:r>
    <w:r w:rsidRPr="00364EE3">
      <w:rPr>
        <w:rStyle w:val="PageNumber"/>
        <w:rFonts w:ascii="Times New Roman" w:hAnsi="Times New Roman"/>
        <w:sz w:val="20"/>
      </w:rPr>
      <w:fldChar w:fldCharType="begin"/>
    </w:r>
    <w:r w:rsidRPr="00364EE3">
      <w:rPr>
        <w:rStyle w:val="PageNumber"/>
        <w:rFonts w:ascii="Times New Roman" w:hAnsi="Times New Roman"/>
        <w:sz w:val="20"/>
      </w:rPr>
      <w:instrText xml:space="preserve"> PAGE </w:instrText>
    </w:r>
    <w:r w:rsidRPr="00364EE3">
      <w:rPr>
        <w:rStyle w:val="PageNumber"/>
        <w:rFonts w:ascii="Times New Roman" w:hAnsi="Times New Roman"/>
        <w:sz w:val="20"/>
      </w:rPr>
      <w:fldChar w:fldCharType="separate"/>
    </w:r>
    <w:r w:rsidR="000666DE">
      <w:rPr>
        <w:rStyle w:val="PageNumber"/>
        <w:rFonts w:ascii="Times New Roman" w:hAnsi="Times New Roman"/>
        <w:noProof/>
        <w:sz w:val="20"/>
      </w:rPr>
      <w:t>1</w:t>
    </w:r>
    <w:r w:rsidRPr="00364EE3">
      <w:rPr>
        <w:rStyle w:val="PageNumber"/>
        <w:rFonts w:ascii="Times New Roman" w:hAnsi="Times New Roman"/>
        <w:sz w:val="20"/>
      </w:rPr>
      <w:fldChar w:fldCharType="end"/>
    </w:r>
  </w:p>
  <w:p w:rsidR="00FB1C81" w:rsidRPr="00FB1C81" w:rsidRDefault="00FB1C81" w:rsidP="00FB1C81">
    <w:pPr>
      <w:pStyle w:val="Footer"/>
      <w:jc w:val="center"/>
      <w:rPr>
        <w:rStyle w:val="PageNumber"/>
        <w:rFonts w:ascii="Times New Roman" w:hAnsi="Times New Roman"/>
        <w:sz w:val="16"/>
      </w:rPr>
    </w:pPr>
    <w:r>
      <w:rPr>
        <w:rStyle w:val="PageNumber"/>
        <w:rFonts w:ascii="Times New Roman" w:hAnsi="Times New Roman"/>
        <w:sz w:val="16"/>
      </w:rPr>
      <w:t>Copyright © 2014 McGraw-Hill Education. All rights reserved. No reproduction or distribution without the prior written consent of McGraw-Hill Education.</w:t>
    </w:r>
  </w:p>
  <w:p w:rsidR="00FB1C81" w:rsidRPr="00364EE3" w:rsidRDefault="00FB1C81">
    <w:pPr>
      <w:pStyle w:val="Footer"/>
      <w:spacing w:line="480" w:lineRule="atLeast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7D5D" w:rsidRDefault="006D7D5D">
      <w:r>
        <w:separator/>
      </w:r>
    </w:p>
  </w:footnote>
  <w:footnote w:type="continuationSeparator" w:id="0">
    <w:p w:rsidR="006D7D5D" w:rsidRDefault="006D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153F" w:rsidRDefault="00FB1C81">
    <w:pPr>
      <w:pStyle w:val="Header"/>
      <w:rPr>
        <w:rFonts w:ascii="Times New Roman" w:hAnsi="Times New Roman"/>
        <w:sz w:val="20"/>
      </w:rPr>
    </w:pPr>
    <w:r w:rsidRPr="0005153F">
      <w:rPr>
        <w:rFonts w:ascii="Times New Roman" w:hAnsi="Times New Roman"/>
        <w:sz w:val="20"/>
      </w:rPr>
      <w:t>C</w:t>
    </w:r>
    <w:r>
      <w:rPr>
        <w:rFonts w:ascii="Times New Roman" w:hAnsi="Times New Roman"/>
        <w:sz w:val="20"/>
      </w:rPr>
      <w:t xml:space="preserve">hapter 9 - </w:t>
    </w:r>
    <w:r w:rsidRPr="0005153F">
      <w:rPr>
        <w:rFonts w:ascii="Times New Roman" w:hAnsi="Times New Roman"/>
        <w:sz w:val="20"/>
      </w:rPr>
      <w:t>The Capital Asset Pricing Model</w:t>
    </w:r>
  </w:p>
  <w:p w:rsidR="000E1AFD" w:rsidRPr="0005153F" w:rsidRDefault="000E1AFD">
    <w:pPr>
      <w:pStyle w:val="Head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11F6"/>
    <w:multiLevelType w:val="singleLevel"/>
    <w:tmpl w:val="5A8ABC28"/>
    <w:lvl w:ilvl="0">
      <w:start w:val="2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" w15:restartNumberingAfterBreak="0">
    <w:nsid w:val="0D6A442E"/>
    <w:multiLevelType w:val="singleLevel"/>
    <w:tmpl w:val="D22A4B56"/>
    <w:lvl w:ilvl="0">
      <w:start w:val="2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 w15:restartNumberingAfterBreak="0">
    <w:nsid w:val="0E963E06"/>
    <w:multiLevelType w:val="singleLevel"/>
    <w:tmpl w:val="5D60BA7C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3" w15:restartNumberingAfterBreak="0">
    <w:nsid w:val="1DB26EA5"/>
    <w:multiLevelType w:val="hybridMultilevel"/>
    <w:tmpl w:val="236AEEEC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167B"/>
    <w:multiLevelType w:val="singleLevel"/>
    <w:tmpl w:val="7346B2EC"/>
    <w:lvl w:ilvl="0">
      <w:start w:val="2"/>
      <w:numFmt w:val="lowerLetter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</w:abstractNum>
  <w:abstractNum w:abstractNumId="5" w15:restartNumberingAfterBreak="0">
    <w:nsid w:val="21E21548"/>
    <w:multiLevelType w:val="singleLevel"/>
    <w:tmpl w:val="41420AE2"/>
    <w:lvl w:ilvl="0">
      <w:start w:val="2"/>
      <w:numFmt w:val="lowerLetter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abstractNum w:abstractNumId="6" w15:restartNumberingAfterBreak="0">
    <w:nsid w:val="2EDC677A"/>
    <w:multiLevelType w:val="singleLevel"/>
    <w:tmpl w:val="EEBC3FA6"/>
    <w:lvl w:ilvl="0">
      <w:start w:val="2"/>
      <w:numFmt w:val="lowerLetter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abstractNum w:abstractNumId="7" w15:restartNumberingAfterBreak="0">
    <w:nsid w:val="41051280"/>
    <w:multiLevelType w:val="singleLevel"/>
    <w:tmpl w:val="F7B469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</w:abstractNum>
  <w:abstractNum w:abstractNumId="8" w15:restartNumberingAfterBreak="0">
    <w:nsid w:val="42A03BE0"/>
    <w:multiLevelType w:val="hybridMultilevel"/>
    <w:tmpl w:val="71DC7BEC"/>
    <w:lvl w:ilvl="0" w:tplc="E0CEBBE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B1A82"/>
    <w:multiLevelType w:val="singleLevel"/>
    <w:tmpl w:val="58229FA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0" w15:restartNumberingAfterBreak="0">
    <w:nsid w:val="47862D07"/>
    <w:multiLevelType w:val="hybridMultilevel"/>
    <w:tmpl w:val="78945518"/>
    <w:lvl w:ilvl="0" w:tplc="87B48CF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FF1120"/>
    <w:multiLevelType w:val="singleLevel"/>
    <w:tmpl w:val="78CCB13A"/>
    <w:lvl w:ilvl="0">
      <w:start w:val="2"/>
      <w:numFmt w:val="lowerLetter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</w:abstractNum>
  <w:abstractNum w:abstractNumId="12" w15:restartNumberingAfterBreak="0">
    <w:nsid w:val="623A23B8"/>
    <w:multiLevelType w:val="singleLevel"/>
    <w:tmpl w:val="F7E6E3D0"/>
    <w:lvl w:ilvl="0">
      <w:start w:val="3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3" w15:restartNumberingAfterBreak="0">
    <w:nsid w:val="68583EC2"/>
    <w:multiLevelType w:val="singleLevel"/>
    <w:tmpl w:val="8F02DE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752729FB"/>
    <w:multiLevelType w:val="hybridMultilevel"/>
    <w:tmpl w:val="EB747D88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D3849"/>
    <w:multiLevelType w:val="singleLevel"/>
    <w:tmpl w:val="350C5F52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6" w15:restartNumberingAfterBreak="0">
    <w:nsid w:val="7B000E03"/>
    <w:multiLevelType w:val="singleLevel"/>
    <w:tmpl w:val="27288A04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 w16cid:durableId="341666708">
    <w:abstractNumId w:val="9"/>
  </w:num>
  <w:num w:numId="2" w16cid:durableId="1906718462">
    <w:abstractNumId w:val="4"/>
  </w:num>
  <w:num w:numId="3" w16cid:durableId="582645939">
    <w:abstractNumId w:val="11"/>
  </w:num>
  <w:num w:numId="4" w16cid:durableId="1185292720">
    <w:abstractNumId w:val="16"/>
  </w:num>
  <w:num w:numId="5" w16cid:durableId="1164472927">
    <w:abstractNumId w:val="15"/>
  </w:num>
  <w:num w:numId="6" w16cid:durableId="225990181">
    <w:abstractNumId w:val="6"/>
  </w:num>
  <w:num w:numId="7" w16cid:durableId="1418556907">
    <w:abstractNumId w:val="5"/>
  </w:num>
  <w:num w:numId="8" w16cid:durableId="1125079267">
    <w:abstractNumId w:val="13"/>
  </w:num>
  <w:num w:numId="9" w16cid:durableId="965357887">
    <w:abstractNumId w:val="1"/>
  </w:num>
  <w:num w:numId="10" w16cid:durableId="2054377143">
    <w:abstractNumId w:val="7"/>
  </w:num>
  <w:num w:numId="11" w16cid:durableId="1267157250">
    <w:abstractNumId w:val="0"/>
  </w:num>
  <w:num w:numId="12" w16cid:durableId="1796675798">
    <w:abstractNumId w:val="12"/>
  </w:num>
  <w:num w:numId="13" w16cid:durableId="267125015">
    <w:abstractNumId w:val="2"/>
  </w:num>
  <w:num w:numId="14" w16cid:durableId="1666662561">
    <w:abstractNumId w:val="10"/>
  </w:num>
  <w:num w:numId="15" w16cid:durableId="1032808212">
    <w:abstractNumId w:val="8"/>
  </w:num>
  <w:num w:numId="16" w16cid:durableId="771975057">
    <w:abstractNumId w:val="14"/>
  </w:num>
  <w:num w:numId="17" w16cid:durableId="95807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A6"/>
    <w:rsid w:val="00001EDC"/>
    <w:rsid w:val="000265F0"/>
    <w:rsid w:val="00040112"/>
    <w:rsid w:val="0005153F"/>
    <w:rsid w:val="000565CD"/>
    <w:rsid w:val="00061820"/>
    <w:rsid w:val="000666DE"/>
    <w:rsid w:val="000E1AFD"/>
    <w:rsid w:val="00145845"/>
    <w:rsid w:val="001C13F5"/>
    <w:rsid w:val="00201839"/>
    <w:rsid w:val="002619EA"/>
    <w:rsid w:val="00265A15"/>
    <w:rsid w:val="002738B6"/>
    <w:rsid w:val="0028291E"/>
    <w:rsid w:val="00313E33"/>
    <w:rsid w:val="003478D1"/>
    <w:rsid w:val="00352CEC"/>
    <w:rsid w:val="00364EE3"/>
    <w:rsid w:val="0040772E"/>
    <w:rsid w:val="0041695B"/>
    <w:rsid w:val="004250A6"/>
    <w:rsid w:val="00437022"/>
    <w:rsid w:val="00454E44"/>
    <w:rsid w:val="004560EB"/>
    <w:rsid w:val="0046096B"/>
    <w:rsid w:val="00461A7B"/>
    <w:rsid w:val="00467EF8"/>
    <w:rsid w:val="00494C34"/>
    <w:rsid w:val="004B0501"/>
    <w:rsid w:val="004C0C37"/>
    <w:rsid w:val="004E6F09"/>
    <w:rsid w:val="0051103D"/>
    <w:rsid w:val="00517BB3"/>
    <w:rsid w:val="005B1F1D"/>
    <w:rsid w:val="005E45CF"/>
    <w:rsid w:val="00616B5A"/>
    <w:rsid w:val="00634B5D"/>
    <w:rsid w:val="00646FB1"/>
    <w:rsid w:val="00671361"/>
    <w:rsid w:val="006C7CE5"/>
    <w:rsid w:val="006D7D5D"/>
    <w:rsid w:val="0070504D"/>
    <w:rsid w:val="00725715"/>
    <w:rsid w:val="00731464"/>
    <w:rsid w:val="007325B4"/>
    <w:rsid w:val="007473F1"/>
    <w:rsid w:val="00763643"/>
    <w:rsid w:val="00773D6E"/>
    <w:rsid w:val="00775A1C"/>
    <w:rsid w:val="007D30CC"/>
    <w:rsid w:val="007E29C4"/>
    <w:rsid w:val="007E6246"/>
    <w:rsid w:val="007E7194"/>
    <w:rsid w:val="00843134"/>
    <w:rsid w:val="00854731"/>
    <w:rsid w:val="008706F8"/>
    <w:rsid w:val="008C0B68"/>
    <w:rsid w:val="008C48A9"/>
    <w:rsid w:val="008D50A8"/>
    <w:rsid w:val="009235B2"/>
    <w:rsid w:val="00962782"/>
    <w:rsid w:val="009F216A"/>
    <w:rsid w:val="00A637B8"/>
    <w:rsid w:val="00A76D3B"/>
    <w:rsid w:val="00AB42F8"/>
    <w:rsid w:val="00AB6B5B"/>
    <w:rsid w:val="00AC7FBD"/>
    <w:rsid w:val="00B137CD"/>
    <w:rsid w:val="00B51B93"/>
    <w:rsid w:val="00B55C2C"/>
    <w:rsid w:val="00B67162"/>
    <w:rsid w:val="00B7390B"/>
    <w:rsid w:val="00BA3F4D"/>
    <w:rsid w:val="00BB1D3E"/>
    <w:rsid w:val="00BB507B"/>
    <w:rsid w:val="00BD48A3"/>
    <w:rsid w:val="00BE362E"/>
    <w:rsid w:val="00C03D6B"/>
    <w:rsid w:val="00C24390"/>
    <w:rsid w:val="00C2663A"/>
    <w:rsid w:val="00CF3FB1"/>
    <w:rsid w:val="00D01C80"/>
    <w:rsid w:val="00D0208D"/>
    <w:rsid w:val="00D20C74"/>
    <w:rsid w:val="00D423BB"/>
    <w:rsid w:val="00D42576"/>
    <w:rsid w:val="00D97CDF"/>
    <w:rsid w:val="00DB7A7F"/>
    <w:rsid w:val="00DD0765"/>
    <w:rsid w:val="00ED3755"/>
    <w:rsid w:val="00EF4E76"/>
    <w:rsid w:val="00FB1C81"/>
    <w:rsid w:val="00FC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378E2D7"/>
  <w15:chartTrackingRefBased/>
  <w15:docId w15:val="{A3303B4E-FDB9-4F1D-91BB-8B98ED6A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tabs>
        <w:tab w:val="left" w:pos="1008"/>
        <w:tab w:val="left" w:pos="1160"/>
      </w:tabs>
      <w:ind w:hanging="720"/>
    </w:pPr>
  </w:style>
  <w:style w:type="paragraph" w:styleId="Title">
    <w:name w:val="Title"/>
    <w:basedOn w:val="Normal"/>
    <w:qFormat/>
    <w:pPr>
      <w:widowControl w:val="0"/>
      <w:tabs>
        <w:tab w:val="left" w:pos="1160"/>
      </w:tabs>
      <w:ind w:hanging="720"/>
      <w:jc w:val="center"/>
    </w:pPr>
    <w:rPr>
      <w:b/>
      <w:sz w:val="28"/>
    </w:rPr>
  </w:style>
  <w:style w:type="paragraph" w:styleId="BodyTextIndent2">
    <w:name w:val="Body Text Indent 2"/>
    <w:basedOn w:val="Normal"/>
    <w:pPr>
      <w:widowControl w:val="0"/>
      <w:ind w:left="540" w:hanging="540"/>
    </w:pPr>
  </w:style>
  <w:style w:type="paragraph" w:styleId="BodyTextIndent3">
    <w:name w:val="Body Text Indent 3"/>
    <w:basedOn w:val="Normal"/>
    <w:pPr>
      <w:widowControl w:val="0"/>
      <w:tabs>
        <w:tab w:val="left" w:pos="1160"/>
      </w:tabs>
      <w:ind w:left="540"/>
    </w:pPr>
  </w:style>
  <w:style w:type="paragraph" w:styleId="Header">
    <w:name w:val="header"/>
    <w:basedOn w:val="Normal"/>
    <w:rsid w:val="000515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5153F"/>
  </w:style>
  <w:style w:type="paragraph" w:styleId="BalloonText">
    <w:name w:val="Balloon Text"/>
    <w:basedOn w:val="Normal"/>
    <w:link w:val="BalloonTextChar"/>
    <w:rsid w:val="00BB5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5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650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McGraw-Hill Companies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Bathurst, Noelle</dc:creator>
  <cp:keywords/>
  <cp:lastModifiedBy>Kee Chung</cp:lastModifiedBy>
  <cp:revision>4</cp:revision>
  <cp:lastPrinted>2008-05-05T13:49:00Z</cp:lastPrinted>
  <dcterms:created xsi:type="dcterms:W3CDTF">2019-02-25T13:36:00Z</dcterms:created>
  <dcterms:modified xsi:type="dcterms:W3CDTF">2023-03-14T16:02:00Z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