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924" w:rsidRPr="00D14BF2" w:rsidRDefault="006F3924" w:rsidP="0062298E">
      <w:pPr>
        <w:pStyle w:val="Title"/>
        <w:tabs>
          <w:tab w:val="clear" w:pos="440"/>
          <w:tab w:val="clear" w:pos="800"/>
        </w:tabs>
        <w:ind w:left="0" w:firstLine="0"/>
        <w:rPr>
          <w:rFonts w:ascii="Times New Roman" w:hAnsi="Times New Roman"/>
        </w:rPr>
      </w:pPr>
      <w:r w:rsidRPr="00D14BF2">
        <w:rPr>
          <w:rFonts w:ascii="Times New Roman" w:hAnsi="Times New Roman"/>
        </w:rPr>
        <w:t>CHAPTER 15: THE TERM STRUCTURE OF INTEREST RATES</w:t>
      </w:r>
    </w:p>
    <w:p w:rsidR="006F3924" w:rsidRPr="00D14BF2" w:rsidRDefault="006F3924" w:rsidP="00386F53">
      <w:pPr>
        <w:spacing w:line="240" w:lineRule="auto"/>
        <w:rPr>
          <w:rFonts w:ascii="Times New Roman" w:hAnsi="Times New Roman"/>
        </w:rPr>
      </w:pPr>
    </w:p>
    <w:p w:rsidR="006F3924" w:rsidRPr="00D14BF2" w:rsidRDefault="006F3924" w:rsidP="00386F53">
      <w:pPr>
        <w:spacing w:line="240" w:lineRule="auto"/>
        <w:rPr>
          <w:rFonts w:ascii="Times New Roman" w:hAnsi="Times New Roman"/>
        </w:rPr>
      </w:pPr>
    </w:p>
    <w:p w:rsidR="00386F53" w:rsidRPr="00D14BF2" w:rsidRDefault="00386F53" w:rsidP="00386F53">
      <w:pPr>
        <w:spacing w:line="240" w:lineRule="auto"/>
        <w:rPr>
          <w:rFonts w:ascii="Times New Roman" w:hAnsi="Times New Roman"/>
          <w:b/>
        </w:rPr>
      </w:pPr>
      <w:r w:rsidRPr="00D14BF2">
        <w:rPr>
          <w:rFonts w:ascii="Times New Roman" w:hAnsi="Times New Roman"/>
          <w:b/>
        </w:rPr>
        <w:t>PROBLEM SETS.</w:t>
      </w:r>
    </w:p>
    <w:p w:rsidR="00386F53" w:rsidRPr="00D14BF2" w:rsidRDefault="00386F53" w:rsidP="00386F53">
      <w:pPr>
        <w:spacing w:line="240" w:lineRule="auto"/>
        <w:rPr>
          <w:rFonts w:ascii="Times New Roman" w:hAnsi="Times New Roman"/>
        </w:rPr>
      </w:pPr>
    </w:p>
    <w:p w:rsidR="00386F53" w:rsidRPr="00D14BF2" w:rsidRDefault="00386F53" w:rsidP="00386F53">
      <w:pPr>
        <w:spacing w:line="240" w:lineRule="auto"/>
        <w:rPr>
          <w:rFonts w:ascii="Times New Roman" w:hAnsi="Times New Roman"/>
        </w:rPr>
      </w:pPr>
    </w:p>
    <w:p w:rsidR="006F3924" w:rsidRPr="00D14BF2" w:rsidRDefault="00972066" w:rsidP="00637C30">
      <w:pPr>
        <w:spacing w:after="120" w:line="240" w:lineRule="auto"/>
        <w:ind w:left="547" w:hanging="547"/>
        <w:rPr>
          <w:rFonts w:ascii="Times New Roman" w:hAnsi="Times New Roman"/>
        </w:rPr>
      </w:pPr>
      <w:r w:rsidRPr="00D14BF2">
        <w:rPr>
          <w:rFonts w:ascii="Times New Roman" w:hAnsi="Times New Roman"/>
        </w:rPr>
        <w:t>1</w:t>
      </w:r>
      <w:r w:rsidR="006F3924" w:rsidRPr="00D14BF2">
        <w:rPr>
          <w:rFonts w:ascii="Times New Roman" w:hAnsi="Times New Roman"/>
        </w:rPr>
        <w:t>.</w:t>
      </w:r>
      <w:r w:rsidR="006F3924" w:rsidRPr="00D14BF2">
        <w:rPr>
          <w:rFonts w:ascii="Times New Roman" w:hAnsi="Times New Roman"/>
        </w:rPr>
        <w:tab/>
        <w:t xml:space="preserve">In general, the forward rate can be viewed as the sum of the market’s expectation of the future short rate plus a potential risk </w:t>
      </w:r>
      <w:r w:rsidR="002B6698" w:rsidRPr="00D14BF2">
        <w:rPr>
          <w:rFonts w:ascii="Times New Roman" w:hAnsi="Times New Roman"/>
        </w:rPr>
        <w:t>(</w:t>
      </w:r>
      <w:r w:rsidR="006F3924" w:rsidRPr="00D14BF2">
        <w:rPr>
          <w:rFonts w:ascii="Times New Roman" w:hAnsi="Times New Roman"/>
        </w:rPr>
        <w:t>or liquidity</w:t>
      </w:r>
      <w:r w:rsidR="002B6698" w:rsidRPr="00D14BF2">
        <w:rPr>
          <w:rFonts w:ascii="Times New Roman" w:hAnsi="Times New Roman"/>
        </w:rPr>
        <w:t>)</w:t>
      </w:r>
      <w:r w:rsidR="006F3924" w:rsidRPr="00D14BF2">
        <w:rPr>
          <w:rFonts w:ascii="Times New Roman" w:hAnsi="Times New Roman"/>
        </w:rPr>
        <w:t xml:space="preserve"> premium</w:t>
      </w:r>
      <w:r w:rsidR="0046314E">
        <w:rPr>
          <w:rFonts w:ascii="Times New Roman" w:hAnsi="Times New Roman"/>
        </w:rPr>
        <w:t xml:space="preserve">. </w:t>
      </w:r>
      <w:r w:rsidR="006F3924" w:rsidRPr="00D14BF2">
        <w:rPr>
          <w:rFonts w:ascii="Times New Roman" w:hAnsi="Times New Roman"/>
        </w:rPr>
        <w:t>According to the expectations theory of the term structure of interest rates, the liquidity premium is zero so that the forward rate is equal to the market’s expectation of the future short rate</w:t>
      </w:r>
      <w:r w:rsidR="0046314E">
        <w:rPr>
          <w:rFonts w:ascii="Times New Roman" w:hAnsi="Times New Roman"/>
        </w:rPr>
        <w:t xml:space="preserve">. </w:t>
      </w:r>
      <w:r w:rsidR="006F3924" w:rsidRPr="00D14BF2">
        <w:rPr>
          <w:rFonts w:ascii="Times New Roman" w:hAnsi="Times New Roman"/>
        </w:rPr>
        <w:t>Therefore, the market’s expectation of future short rates (i.e., forward rates) can be derived from the yield curve, and there is no risk premium for longer maturities.</w:t>
      </w:r>
    </w:p>
    <w:p w:rsidR="006F3924" w:rsidRPr="00D14BF2" w:rsidRDefault="006F3924" w:rsidP="0062298E">
      <w:pPr>
        <w:spacing w:line="240" w:lineRule="auto"/>
        <w:ind w:left="540"/>
        <w:rPr>
          <w:rFonts w:ascii="Times New Roman" w:hAnsi="Times New Roman"/>
        </w:rPr>
      </w:pPr>
      <w:r w:rsidRPr="00D14BF2">
        <w:rPr>
          <w:rFonts w:ascii="Times New Roman" w:hAnsi="Times New Roman"/>
        </w:rPr>
        <w:t xml:space="preserve">The liquidity preference theory, on the other hand, specifies that the liquidity premium is positive so that the forward rate is </w:t>
      </w:r>
      <w:r w:rsidR="00D7798F">
        <w:rPr>
          <w:rFonts w:ascii="Times New Roman" w:hAnsi="Times New Roman"/>
        </w:rPr>
        <w:t>greater</w:t>
      </w:r>
      <w:r w:rsidRPr="00D14BF2">
        <w:rPr>
          <w:rFonts w:ascii="Times New Roman" w:hAnsi="Times New Roman"/>
        </w:rPr>
        <w:t xml:space="preserve"> than the market’s expectation of the future short rate</w:t>
      </w:r>
      <w:r w:rsidR="0046314E">
        <w:rPr>
          <w:rFonts w:ascii="Times New Roman" w:hAnsi="Times New Roman"/>
        </w:rPr>
        <w:t xml:space="preserve">. </w:t>
      </w:r>
      <w:r w:rsidRPr="00D14BF2">
        <w:rPr>
          <w:rFonts w:ascii="Times New Roman" w:hAnsi="Times New Roman"/>
        </w:rPr>
        <w:t>This could result in an upward sloping term structure even if the market does not anticipate an increase in interest rates</w:t>
      </w:r>
      <w:r w:rsidR="0046314E">
        <w:rPr>
          <w:rFonts w:ascii="Times New Roman" w:hAnsi="Times New Roman"/>
        </w:rPr>
        <w:t xml:space="preserve">. </w:t>
      </w:r>
      <w:r w:rsidRPr="00D14BF2">
        <w:rPr>
          <w:rFonts w:ascii="Times New Roman" w:hAnsi="Times New Roman"/>
        </w:rPr>
        <w:t>The liquidity preference theory is based on the assumption that the financial markets are dominated by short-term investors who demand a premium in order to be induced to invest in long maturity securities.</w:t>
      </w:r>
    </w:p>
    <w:p w:rsidR="006F3924" w:rsidRPr="00D14BF2" w:rsidRDefault="006F3924" w:rsidP="00AF6300">
      <w:pPr>
        <w:pStyle w:val="Footer"/>
        <w:tabs>
          <w:tab w:val="clear" w:pos="4320"/>
          <w:tab w:val="clear" w:pos="8640"/>
        </w:tabs>
        <w:spacing w:line="240" w:lineRule="auto"/>
        <w:rPr>
          <w:rFonts w:ascii="Times New Roman" w:hAnsi="Times New Roman"/>
        </w:rPr>
      </w:pPr>
    </w:p>
    <w:p w:rsidR="006F3924" w:rsidRPr="00D14BF2" w:rsidRDefault="006F3924" w:rsidP="00AF6300">
      <w:pPr>
        <w:spacing w:line="240" w:lineRule="auto"/>
        <w:rPr>
          <w:rFonts w:ascii="Times New Roman" w:hAnsi="Times New Roman"/>
        </w:rPr>
      </w:pPr>
    </w:p>
    <w:p w:rsidR="006F3924" w:rsidRPr="00D14BF2" w:rsidRDefault="00972066">
      <w:pPr>
        <w:spacing w:line="240" w:lineRule="auto"/>
        <w:ind w:left="540" w:hanging="540"/>
        <w:rPr>
          <w:rFonts w:ascii="Times New Roman" w:hAnsi="Times New Roman"/>
        </w:rPr>
      </w:pPr>
      <w:r w:rsidRPr="00D14BF2">
        <w:rPr>
          <w:rFonts w:ascii="Times New Roman" w:hAnsi="Times New Roman"/>
        </w:rPr>
        <w:t>2</w:t>
      </w:r>
      <w:r w:rsidR="006F3924" w:rsidRPr="00D14BF2">
        <w:rPr>
          <w:rFonts w:ascii="Times New Roman" w:hAnsi="Times New Roman"/>
        </w:rPr>
        <w:t>.</w:t>
      </w:r>
      <w:r w:rsidR="006F3924" w:rsidRPr="00D14BF2">
        <w:rPr>
          <w:rFonts w:ascii="Times New Roman" w:hAnsi="Times New Roman"/>
        </w:rPr>
        <w:tab/>
        <w:t>True</w:t>
      </w:r>
      <w:r w:rsidR="0046314E">
        <w:rPr>
          <w:rFonts w:ascii="Times New Roman" w:hAnsi="Times New Roman"/>
        </w:rPr>
        <w:t xml:space="preserve">. </w:t>
      </w:r>
      <w:r w:rsidR="006F3924" w:rsidRPr="00D14BF2">
        <w:rPr>
          <w:rFonts w:ascii="Times New Roman" w:hAnsi="Times New Roman"/>
        </w:rPr>
        <w:t>Under the expectations hypothesis, there are no risk premia built into bond prices</w:t>
      </w:r>
      <w:r w:rsidR="0046314E">
        <w:rPr>
          <w:rFonts w:ascii="Times New Roman" w:hAnsi="Times New Roman"/>
        </w:rPr>
        <w:t xml:space="preserve">. </w:t>
      </w:r>
      <w:r w:rsidR="006F3924" w:rsidRPr="00D14BF2">
        <w:rPr>
          <w:rFonts w:ascii="Times New Roman" w:hAnsi="Times New Roman"/>
        </w:rPr>
        <w:t>The only reason for long-term yields to exceed short-term yields is an expectation of higher short-term rates in the future.</w:t>
      </w:r>
    </w:p>
    <w:p w:rsidR="006F3924" w:rsidRPr="00D14BF2" w:rsidRDefault="006F3924" w:rsidP="00AF6300">
      <w:pPr>
        <w:spacing w:line="240" w:lineRule="auto"/>
        <w:rPr>
          <w:rFonts w:ascii="Times New Roman" w:hAnsi="Times New Roman"/>
        </w:rPr>
      </w:pPr>
    </w:p>
    <w:p w:rsidR="006F3924" w:rsidRPr="00D14BF2" w:rsidRDefault="006F3924" w:rsidP="00AF6300">
      <w:pPr>
        <w:spacing w:line="240" w:lineRule="auto"/>
        <w:rPr>
          <w:rFonts w:ascii="Times New Roman" w:hAnsi="Times New Roman"/>
        </w:rPr>
      </w:pPr>
    </w:p>
    <w:p w:rsidR="006F3924" w:rsidRPr="00D14BF2" w:rsidRDefault="00972066">
      <w:pPr>
        <w:spacing w:line="240" w:lineRule="auto"/>
        <w:ind w:left="540" w:hanging="540"/>
        <w:rPr>
          <w:rFonts w:ascii="Times New Roman" w:hAnsi="Times New Roman"/>
        </w:rPr>
      </w:pPr>
      <w:r w:rsidRPr="00D14BF2">
        <w:rPr>
          <w:rFonts w:ascii="Times New Roman" w:hAnsi="Times New Roman"/>
        </w:rPr>
        <w:t>3</w:t>
      </w:r>
      <w:r w:rsidR="006F3924" w:rsidRPr="00D14BF2">
        <w:rPr>
          <w:rFonts w:ascii="Times New Roman" w:hAnsi="Times New Roman"/>
        </w:rPr>
        <w:t>.</w:t>
      </w:r>
      <w:r w:rsidR="006F3924" w:rsidRPr="00D14BF2">
        <w:rPr>
          <w:rFonts w:ascii="Times New Roman" w:hAnsi="Times New Roman"/>
        </w:rPr>
        <w:tab/>
        <w:t>Uncertain</w:t>
      </w:r>
      <w:r w:rsidR="0046314E">
        <w:rPr>
          <w:rFonts w:ascii="Times New Roman" w:hAnsi="Times New Roman"/>
        </w:rPr>
        <w:t xml:space="preserve">. </w:t>
      </w:r>
      <w:r w:rsidR="006F3924" w:rsidRPr="00D14BF2">
        <w:rPr>
          <w:rFonts w:ascii="Times New Roman" w:hAnsi="Times New Roman"/>
        </w:rPr>
        <w:t>Expectations of lower inflation will usually lead to lower nominal interest rates</w:t>
      </w:r>
      <w:r w:rsidR="0046314E">
        <w:rPr>
          <w:rFonts w:ascii="Times New Roman" w:hAnsi="Times New Roman"/>
        </w:rPr>
        <w:t xml:space="preserve">. </w:t>
      </w:r>
      <w:r w:rsidR="006F3924" w:rsidRPr="00D14BF2">
        <w:rPr>
          <w:rFonts w:ascii="Times New Roman" w:hAnsi="Times New Roman"/>
        </w:rPr>
        <w:t xml:space="preserve">Nevertheless, if the liquidity premium is sufficiently great, long-term yields may exceed short-term yields </w:t>
      </w:r>
      <w:r w:rsidR="006F3924" w:rsidRPr="00D14BF2">
        <w:rPr>
          <w:rFonts w:ascii="Times New Roman" w:hAnsi="Times New Roman"/>
          <w:i/>
        </w:rPr>
        <w:t>despite</w:t>
      </w:r>
      <w:r w:rsidR="006F3924" w:rsidRPr="00D14BF2">
        <w:rPr>
          <w:rFonts w:ascii="Times New Roman" w:hAnsi="Times New Roman"/>
        </w:rPr>
        <w:t xml:space="preserve"> expectations of falling short rates.</w:t>
      </w:r>
    </w:p>
    <w:p w:rsidR="006F3924" w:rsidRDefault="006F3924" w:rsidP="00AF6300">
      <w:pPr>
        <w:spacing w:line="240" w:lineRule="auto"/>
        <w:rPr>
          <w:rFonts w:ascii="Times New Roman" w:hAnsi="Times New Roman"/>
        </w:rPr>
      </w:pPr>
    </w:p>
    <w:p w:rsidR="00D14BF2" w:rsidRDefault="00D14BF2" w:rsidP="00AF6300">
      <w:pPr>
        <w:spacing w:line="240" w:lineRule="auto"/>
        <w:rPr>
          <w:rFonts w:ascii="Times New Roman" w:hAnsi="Times New Roman"/>
        </w:rPr>
      </w:pPr>
    </w:p>
    <w:p w:rsidR="00D14BF2" w:rsidRDefault="00D14BF2" w:rsidP="00D14BF2">
      <w:pPr>
        <w:spacing w:line="240" w:lineRule="auto"/>
        <w:ind w:left="540" w:hanging="540"/>
        <w:rPr>
          <w:rFonts w:ascii="Times New Roman" w:hAnsi="Times New Roman"/>
        </w:rPr>
      </w:pPr>
      <w:r>
        <w:rPr>
          <w:rFonts w:ascii="Times New Roman" w:hAnsi="Times New Roman"/>
        </w:rPr>
        <w:t>4</w:t>
      </w:r>
      <w:r w:rsidR="0046314E">
        <w:rPr>
          <w:rFonts w:ascii="Times New Roman" w:hAnsi="Times New Roman"/>
        </w:rPr>
        <w:t xml:space="preserve">. </w:t>
      </w:r>
      <w:r>
        <w:rPr>
          <w:rFonts w:ascii="Times New Roman" w:hAnsi="Times New Roman"/>
        </w:rPr>
        <w:t xml:space="preserve">    The liquidity theory holds that investors demand a premium to compensate them for interest rate exposure and the premium increases with maturity</w:t>
      </w:r>
      <w:r w:rsidR="0046314E">
        <w:rPr>
          <w:rFonts w:ascii="Times New Roman" w:hAnsi="Times New Roman"/>
        </w:rPr>
        <w:t xml:space="preserve">. </w:t>
      </w:r>
      <w:r>
        <w:rPr>
          <w:rFonts w:ascii="Times New Roman" w:hAnsi="Times New Roman"/>
        </w:rPr>
        <w:t>Add this premium to a flat curve and the result is an upward sloping yield curve.</w:t>
      </w:r>
    </w:p>
    <w:p w:rsidR="00D14BF2" w:rsidRDefault="00D14BF2" w:rsidP="00D14BF2">
      <w:pPr>
        <w:spacing w:line="240" w:lineRule="auto"/>
        <w:ind w:left="540" w:hanging="540"/>
        <w:rPr>
          <w:rFonts w:ascii="Times New Roman" w:hAnsi="Times New Roman"/>
        </w:rPr>
      </w:pPr>
    </w:p>
    <w:p w:rsidR="00D14BF2" w:rsidRPr="00D14BF2" w:rsidRDefault="00D14BF2" w:rsidP="00D14BF2">
      <w:pPr>
        <w:spacing w:line="240" w:lineRule="auto"/>
        <w:ind w:left="540" w:hanging="540"/>
        <w:rPr>
          <w:rFonts w:ascii="Times New Roman" w:hAnsi="Times New Roman"/>
        </w:rPr>
      </w:pPr>
    </w:p>
    <w:p w:rsidR="005C58BD" w:rsidRDefault="00D14BF2" w:rsidP="00D14BF2">
      <w:pPr>
        <w:spacing w:line="240" w:lineRule="auto"/>
        <w:ind w:left="540" w:hanging="540"/>
        <w:rPr>
          <w:rFonts w:ascii="Times New Roman" w:hAnsi="Times New Roman"/>
        </w:rPr>
      </w:pPr>
      <w:r>
        <w:rPr>
          <w:rFonts w:ascii="Times New Roman" w:hAnsi="Times New Roman"/>
        </w:rPr>
        <w:t>5</w:t>
      </w:r>
      <w:r w:rsidR="0046314E">
        <w:rPr>
          <w:rFonts w:ascii="Times New Roman" w:hAnsi="Times New Roman"/>
        </w:rPr>
        <w:t xml:space="preserve">. </w:t>
      </w:r>
      <w:r>
        <w:rPr>
          <w:rFonts w:ascii="Times New Roman" w:hAnsi="Times New Roman"/>
        </w:rPr>
        <w:t xml:space="preserve">    The pure expectations theory, also referred to as the </w:t>
      </w:r>
      <w:r>
        <w:rPr>
          <w:rFonts w:ascii="Times New Roman" w:hAnsi="Times New Roman"/>
          <w:i/>
        </w:rPr>
        <w:t>unbiased</w:t>
      </w:r>
      <w:r>
        <w:rPr>
          <w:rFonts w:ascii="Times New Roman" w:hAnsi="Times New Roman"/>
        </w:rPr>
        <w:t xml:space="preserve"> expectations theory, purports that forward rates are solely a function of expected future spot rates</w:t>
      </w:r>
      <w:r w:rsidR="0046314E">
        <w:rPr>
          <w:rFonts w:ascii="Times New Roman" w:hAnsi="Times New Roman"/>
        </w:rPr>
        <w:t xml:space="preserve">. </w:t>
      </w:r>
      <w:r>
        <w:rPr>
          <w:rFonts w:ascii="Times New Roman" w:hAnsi="Times New Roman"/>
        </w:rPr>
        <w:t>Under the pure expectations theory, a yield curve that is upward (downward) sloping, means that short-term rates are expected to rise (fall)</w:t>
      </w:r>
      <w:r w:rsidR="0046314E">
        <w:rPr>
          <w:rFonts w:ascii="Times New Roman" w:hAnsi="Times New Roman"/>
        </w:rPr>
        <w:t xml:space="preserve">. </w:t>
      </w:r>
      <w:r>
        <w:rPr>
          <w:rFonts w:ascii="Times New Roman" w:hAnsi="Times New Roman"/>
        </w:rPr>
        <w:t>A flat yield curve implies that the market expects short-term rates to remain constant.</w:t>
      </w:r>
    </w:p>
    <w:p w:rsidR="00D14BF2" w:rsidRDefault="00D14BF2" w:rsidP="00D14BF2">
      <w:pPr>
        <w:spacing w:line="240" w:lineRule="auto"/>
        <w:ind w:left="540" w:hanging="540"/>
        <w:rPr>
          <w:rFonts w:ascii="Times New Roman" w:hAnsi="Times New Roman"/>
        </w:rPr>
      </w:pPr>
    </w:p>
    <w:p w:rsidR="00D14BF2" w:rsidRDefault="00D14BF2" w:rsidP="00D14BF2">
      <w:pPr>
        <w:spacing w:line="240" w:lineRule="auto"/>
        <w:ind w:left="540" w:hanging="540"/>
        <w:rPr>
          <w:rFonts w:ascii="Times New Roman" w:hAnsi="Times New Roman"/>
        </w:rPr>
      </w:pPr>
    </w:p>
    <w:p w:rsidR="00D14BF2" w:rsidRDefault="00D14BF2" w:rsidP="00D14BF2">
      <w:pPr>
        <w:spacing w:line="240" w:lineRule="auto"/>
        <w:ind w:left="540" w:hanging="540"/>
        <w:rPr>
          <w:rFonts w:ascii="Times New Roman" w:hAnsi="Times New Roman"/>
        </w:rPr>
      </w:pPr>
    </w:p>
    <w:p w:rsidR="00D14BF2" w:rsidRDefault="00F97FE9" w:rsidP="00D14BF2">
      <w:pPr>
        <w:spacing w:line="240" w:lineRule="auto"/>
        <w:ind w:left="540" w:hanging="540"/>
        <w:rPr>
          <w:rFonts w:ascii="Times New Roman" w:hAnsi="Times New Roman"/>
        </w:rPr>
      </w:pPr>
      <w:r>
        <w:rPr>
          <w:rFonts w:ascii="Times New Roman" w:hAnsi="Times New Roman"/>
        </w:rPr>
        <w:br w:type="page"/>
      </w:r>
      <w:r w:rsidR="00D14BF2">
        <w:rPr>
          <w:rFonts w:ascii="Times New Roman" w:hAnsi="Times New Roman"/>
        </w:rPr>
        <w:lastRenderedPageBreak/>
        <w:t xml:space="preserve">6. </w:t>
      </w:r>
      <w:r w:rsidR="00D14BF2">
        <w:rPr>
          <w:rFonts w:ascii="Times New Roman" w:hAnsi="Times New Roman"/>
        </w:rPr>
        <w:tab/>
        <w:t>The yield curve slopes upward because short-term rates are lower than long-term rates</w:t>
      </w:r>
      <w:r w:rsidR="0046314E">
        <w:rPr>
          <w:rFonts w:ascii="Times New Roman" w:hAnsi="Times New Roman"/>
        </w:rPr>
        <w:t xml:space="preserve">. </w:t>
      </w:r>
      <w:r w:rsidR="00D14BF2">
        <w:rPr>
          <w:rFonts w:ascii="Times New Roman" w:hAnsi="Times New Roman"/>
        </w:rPr>
        <w:t>Since market rates are determined by supply and demand, it follows that investors (demand side) expect rates to be higher in the future than in the near-term.</w:t>
      </w:r>
    </w:p>
    <w:p w:rsidR="00D14BF2" w:rsidRDefault="00D14BF2" w:rsidP="00D14BF2">
      <w:pPr>
        <w:spacing w:line="240" w:lineRule="auto"/>
        <w:ind w:left="540" w:hanging="540"/>
        <w:rPr>
          <w:rFonts w:ascii="Times New Roman" w:hAnsi="Times New Roman"/>
        </w:rPr>
      </w:pPr>
    </w:p>
    <w:p w:rsidR="00D14BF2" w:rsidRPr="00D14BF2" w:rsidRDefault="00D14BF2" w:rsidP="00D14BF2">
      <w:pPr>
        <w:spacing w:line="240" w:lineRule="auto"/>
        <w:ind w:left="540" w:hanging="540"/>
        <w:rPr>
          <w:rFonts w:ascii="Times New Roman" w:hAnsi="Times New Roman"/>
        </w:rPr>
      </w:pPr>
    </w:p>
    <w:tbl>
      <w:tblPr>
        <w:tblW w:w="0" w:type="auto"/>
        <w:tblInd w:w="108" w:type="dxa"/>
        <w:tblLayout w:type="fixed"/>
        <w:tblLook w:val="01E0" w:firstRow="1" w:lastRow="1" w:firstColumn="1" w:lastColumn="1" w:noHBand="0" w:noVBand="0"/>
      </w:tblPr>
      <w:tblGrid>
        <w:gridCol w:w="450"/>
        <w:gridCol w:w="1200"/>
        <w:gridCol w:w="1200"/>
        <w:gridCol w:w="1200"/>
        <w:gridCol w:w="2970"/>
      </w:tblGrid>
      <w:tr w:rsidR="00584769" w:rsidRPr="00D14BF2">
        <w:tc>
          <w:tcPr>
            <w:tcW w:w="450" w:type="dxa"/>
          </w:tcPr>
          <w:p w:rsidR="00584769" w:rsidRPr="00D14BF2" w:rsidRDefault="00D14BF2" w:rsidP="00584769">
            <w:pPr>
              <w:spacing w:line="240" w:lineRule="auto"/>
              <w:ind w:left="-108"/>
              <w:rPr>
                <w:rFonts w:ascii="Times New Roman" w:hAnsi="Times New Roman"/>
              </w:rPr>
            </w:pPr>
            <w:r>
              <w:rPr>
                <w:rFonts w:ascii="Times New Roman" w:hAnsi="Times New Roman"/>
              </w:rPr>
              <w:t>7</w:t>
            </w:r>
            <w:r w:rsidR="00584769" w:rsidRPr="00D14BF2">
              <w:rPr>
                <w:rFonts w:ascii="Times New Roman" w:hAnsi="Times New Roman"/>
              </w:rPr>
              <w:t>.</w:t>
            </w:r>
          </w:p>
        </w:tc>
        <w:tc>
          <w:tcPr>
            <w:tcW w:w="1200" w:type="dxa"/>
            <w:tcBorders>
              <w:bottom w:val="single" w:sz="4" w:space="0" w:color="auto"/>
            </w:tcBorders>
            <w:vAlign w:val="bottom"/>
          </w:tcPr>
          <w:p w:rsidR="00584769" w:rsidRPr="00D14BF2" w:rsidRDefault="00584769">
            <w:pPr>
              <w:spacing w:line="240" w:lineRule="auto"/>
              <w:jc w:val="center"/>
              <w:rPr>
                <w:rFonts w:ascii="Times New Roman" w:hAnsi="Times New Roman"/>
              </w:rPr>
            </w:pPr>
            <w:r w:rsidRPr="00D14BF2">
              <w:rPr>
                <w:rFonts w:ascii="Times New Roman" w:hAnsi="Times New Roman"/>
              </w:rPr>
              <w:t>Maturity</w:t>
            </w:r>
          </w:p>
        </w:tc>
        <w:tc>
          <w:tcPr>
            <w:tcW w:w="1200" w:type="dxa"/>
            <w:tcBorders>
              <w:bottom w:val="single" w:sz="4" w:space="0" w:color="auto"/>
            </w:tcBorders>
            <w:vAlign w:val="bottom"/>
          </w:tcPr>
          <w:p w:rsidR="00584769" w:rsidRPr="00D14BF2" w:rsidRDefault="00584769">
            <w:pPr>
              <w:spacing w:line="240" w:lineRule="auto"/>
              <w:jc w:val="center"/>
              <w:rPr>
                <w:rFonts w:ascii="Times New Roman" w:hAnsi="Times New Roman"/>
              </w:rPr>
            </w:pPr>
            <w:r w:rsidRPr="00D14BF2">
              <w:rPr>
                <w:rFonts w:ascii="Times New Roman" w:hAnsi="Times New Roman"/>
              </w:rPr>
              <w:t>Price</w:t>
            </w:r>
          </w:p>
        </w:tc>
        <w:tc>
          <w:tcPr>
            <w:tcW w:w="1200" w:type="dxa"/>
            <w:tcBorders>
              <w:bottom w:val="single" w:sz="4" w:space="0" w:color="auto"/>
            </w:tcBorders>
            <w:vAlign w:val="bottom"/>
          </w:tcPr>
          <w:p w:rsidR="00584769" w:rsidRPr="00D14BF2" w:rsidRDefault="00584769">
            <w:pPr>
              <w:spacing w:line="240" w:lineRule="auto"/>
              <w:jc w:val="center"/>
              <w:rPr>
                <w:rFonts w:ascii="Times New Roman" w:hAnsi="Times New Roman"/>
              </w:rPr>
            </w:pPr>
            <w:r w:rsidRPr="00D14BF2">
              <w:rPr>
                <w:rFonts w:ascii="Times New Roman" w:hAnsi="Times New Roman"/>
              </w:rPr>
              <w:t>YTM</w:t>
            </w:r>
          </w:p>
        </w:tc>
        <w:tc>
          <w:tcPr>
            <w:tcW w:w="2970" w:type="dxa"/>
            <w:tcBorders>
              <w:bottom w:val="single" w:sz="4" w:space="0" w:color="auto"/>
            </w:tcBorders>
            <w:vAlign w:val="bottom"/>
          </w:tcPr>
          <w:p w:rsidR="00584769" w:rsidRPr="00D14BF2" w:rsidRDefault="00584769" w:rsidP="00584769">
            <w:pPr>
              <w:spacing w:line="240" w:lineRule="auto"/>
              <w:jc w:val="center"/>
              <w:rPr>
                <w:rFonts w:ascii="Times New Roman" w:hAnsi="Times New Roman"/>
              </w:rPr>
            </w:pPr>
            <w:r w:rsidRPr="00D14BF2">
              <w:rPr>
                <w:rFonts w:ascii="Times New Roman" w:hAnsi="Times New Roman"/>
              </w:rPr>
              <w:t>Forward Rate</w:t>
            </w:r>
          </w:p>
        </w:tc>
      </w:tr>
      <w:tr w:rsidR="00584769" w:rsidRPr="00D14BF2">
        <w:trPr>
          <w:trHeight w:hRule="exact" w:val="300"/>
        </w:trPr>
        <w:tc>
          <w:tcPr>
            <w:tcW w:w="450" w:type="dxa"/>
          </w:tcPr>
          <w:p w:rsidR="00584769" w:rsidRPr="00D14BF2" w:rsidRDefault="00584769">
            <w:pPr>
              <w:spacing w:line="240" w:lineRule="auto"/>
              <w:jc w:val="center"/>
              <w:rPr>
                <w:rFonts w:ascii="Times New Roman" w:hAnsi="Times New Roman"/>
              </w:rPr>
            </w:pPr>
          </w:p>
        </w:tc>
        <w:tc>
          <w:tcPr>
            <w:tcW w:w="1200" w:type="dxa"/>
            <w:tcBorders>
              <w:top w:val="single" w:sz="4" w:space="0" w:color="auto"/>
            </w:tcBorders>
            <w:vAlign w:val="bottom"/>
          </w:tcPr>
          <w:p w:rsidR="00584769" w:rsidRPr="00D14BF2" w:rsidRDefault="00584769">
            <w:pPr>
              <w:spacing w:line="240" w:lineRule="auto"/>
              <w:jc w:val="center"/>
              <w:rPr>
                <w:rFonts w:ascii="Times New Roman" w:hAnsi="Times New Roman"/>
              </w:rPr>
            </w:pPr>
            <w:r w:rsidRPr="00D14BF2">
              <w:rPr>
                <w:rFonts w:ascii="Times New Roman" w:hAnsi="Times New Roman"/>
              </w:rPr>
              <w:t>1</w:t>
            </w:r>
          </w:p>
        </w:tc>
        <w:tc>
          <w:tcPr>
            <w:tcW w:w="1200" w:type="dxa"/>
            <w:tcBorders>
              <w:top w:val="single" w:sz="4" w:space="0" w:color="auto"/>
            </w:tcBorders>
            <w:vAlign w:val="bottom"/>
          </w:tcPr>
          <w:p w:rsidR="00584769" w:rsidRPr="00D14BF2" w:rsidRDefault="00584769">
            <w:pPr>
              <w:spacing w:line="240" w:lineRule="auto"/>
              <w:jc w:val="center"/>
              <w:rPr>
                <w:rFonts w:ascii="Times New Roman" w:hAnsi="Times New Roman"/>
              </w:rPr>
            </w:pPr>
            <w:r w:rsidRPr="00D14BF2">
              <w:rPr>
                <w:rFonts w:ascii="Times New Roman" w:hAnsi="Times New Roman"/>
              </w:rPr>
              <w:t>$943.40</w:t>
            </w:r>
          </w:p>
        </w:tc>
        <w:tc>
          <w:tcPr>
            <w:tcW w:w="1200" w:type="dxa"/>
            <w:tcBorders>
              <w:top w:val="single" w:sz="4" w:space="0" w:color="auto"/>
            </w:tcBorders>
            <w:vAlign w:val="bottom"/>
          </w:tcPr>
          <w:p w:rsidR="00584769" w:rsidRPr="00D14BF2" w:rsidRDefault="00584769">
            <w:pPr>
              <w:spacing w:line="240" w:lineRule="auto"/>
              <w:jc w:val="center"/>
              <w:rPr>
                <w:rFonts w:ascii="Times New Roman" w:hAnsi="Times New Roman"/>
              </w:rPr>
            </w:pPr>
            <w:r w:rsidRPr="00D14BF2">
              <w:rPr>
                <w:rFonts w:ascii="Times New Roman" w:hAnsi="Times New Roman"/>
              </w:rPr>
              <w:t>6.00%</w:t>
            </w:r>
          </w:p>
        </w:tc>
        <w:tc>
          <w:tcPr>
            <w:tcW w:w="2970" w:type="dxa"/>
            <w:tcBorders>
              <w:top w:val="single" w:sz="4" w:space="0" w:color="auto"/>
            </w:tcBorders>
            <w:vAlign w:val="bottom"/>
          </w:tcPr>
          <w:p w:rsidR="00584769" w:rsidRPr="00D14BF2" w:rsidRDefault="00584769">
            <w:pPr>
              <w:spacing w:line="240" w:lineRule="auto"/>
              <w:jc w:val="center"/>
              <w:rPr>
                <w:rFonts w:ascii="Times New Roman" w:hAnsi="Times New Roman"/>
              </w:rPr>
            </w:pPr>
          </w:p>
        </w:tc>
      </w:tr>
      <w:tr w:rsidR="00584769" w:rsidRPr="00D14BF2">
        <w:tc>
          <w:tcPr>
            <w:tcW w:w="450" w:type="dxa"/>
          </w:tcPr>
          <w:p w:rsidR="00584769" w:rsidRPr="00D14BF2" w:rsidRDefault="00584769">
            <w:pPr>
              <w:spacing w:line="240" w:lineRule="auto"/>
              <w:jc w:val="center"/>
              <w:rPr>
                <w:rFonts w:ascii="Times New Roman" w:hAnsi="Times New Roman"/>
              </w:rPr>
            </w:pPr>
          </w:p>
        </w:tc>
        <w:tc>
          <w:tcPr>
            <w:tcW w:w="1200" w:type="dxa"/>
          </w:tcPr>
          <w:p w:rsidR="00584769" w:rsidRPr="00D14BF2" w:rsidRDefault="00584769">
            <w:pPr>
              <w:spacing w:line="240" w:lineRule="auto"/>
              <w:jc w:val="center"/>
              <w:rPr>
                <w:rFonts w:ascii="Times New Roman" w:hAnsi="Times New Roman"/>
              </w:rPr>
            </w:pPr>
            <w:r w:rsidRPr="00D14BF2">
              <w:rPr>
                <w:rFonts w:ascii="Times New Roman" w:hAnsi="Times New Roman"/>
              </w:rPr>
              <w:t>2</w:t>
            </w:r>
          </w:p>
        </w:tc>
        <w:tc>
          <w:tcPr>
            <w:tcW w:w="1200" w:type="dxa"/>
          </w:tcPr>
          <w:p w:rsidR="00584769" w:rsidRPr="00D14BF2" w:rsidRDefault="00584769" w:rsidP="0046314E">
            <w:pPr>
              <w:spacing w:line="240" w:lineRule="auto"/>
              <w:jc w:val="center"/>
              <w:rPr>
                <w:rFonts w:ascii="Times New Roman" w:hAnsi="Times New Roman"/>
              </w:rPr>
            </w:pPr>
            <w:r w:rsidRPr="00D14BF2">
              <w:rPr>
                <w:rFonts w:ascii="Times New Roman" w:hAnsi="Times New Roman"/>
              </w:rPr>
              <w:t>$898.47</w:t>
            </w:r>
          </w:p>
        </w:tc>
        <w:tc>
          <w:tcPr>
            <w:tcW w:w="1200" w:type="dxa"/>
          </w:tcPr>
          <w:p w:rsidR="00584769" w:rsidRPr="00D14BF2" w:rsidRDefault="00584769" w:rsidP="00210DB3">
            <w:pPr>
              <w:spacing w:line="240" w:lineRule="auto"/>
              <w:jc w:val="center"/>
              <w:rPr>
                <w:rFonts w:ascii="Times New Roman" w:hAnsi="Times New Roman"/>
              </w:rPr>
            </w:pPr>
            <w:r w:rsidRPr="00D14BF2">
              <w:rPr>
                <w:rFonts w:ascii="Times New Roman" w:hAnsi="Times New Roman"/>
              </w:rPr>
              <w:t>5.50%</w:t>
            </w:r>
          </w:p>
        </w:tc>
        <w:tc>
          <w:tcPr>
            <w:tcW w:w="2970" w:type="dxa"/>
          </w:tcPr>
          <w:p w:rsidR="00584769" w:rsidRPr="00D14BF2" w:rsidRDefault="00584769" w:rsidP="00584769">
            <w:pPr>
              <w:spacing w:line="240" w:lineRule="auto"/>
              <w:rPr>
                <w:rFonts w:ascii="Times New Roman" w:hAnsi="Times New Roman"/>
              </w:rPr>
            </w:pPr>
            <w:r w:rsidRPr="00D14BF2">
              <w:rPr>
                <w:rFonts w:ascii="Times New Roman" w:hAnsi="Times New Roman"/>
              </w:rPr>
              <w:t>(1.055</w:t>
            </w:r>
            <w:r w:rsidRPr="00D14BF2">
              <w:rPr>
                <w:rFonts w:ascii="Times New Roman" w:hAnsi="Times New Roman"/>
                <w:vertAlign w:val="superscript"/>
              </w:rPr>
              <w:t>2</w:t>
            </w:r>
            <w:r w:rsidRPr="00D14BF2">
              <w:rPr>
                <w:rFonts w:ascii="Times New Roman" w:hAnsi="Times New Roman"/>
              </w:rPr>
              <w:t>/1.06) – 1 = 5.0%</w:t>
            </w:r>
          </w:p>
        </w:tc>
      </w:tr>
      <w:tr w:rsidR="00584769" w:rsidRPr="00D14BF2">
        <w:tc>
          <w:tcPr>
            <w:tcW w:w="450" w:type="dxa"/>
          </w:tcPr>
          <w:p w:rsidR="00584769" w:rsidRPr="00D14BF2" w:rsidRDefault="00584769">
            <w:pPr>
              <w:spacing w:line="240" w:lineRule="auto"/>
              <w:jc w:val="center"/>
              <w:rPr>
                <w:rFonts w:ascii="Times New Roman" w:hAnsi="Times New Roman"/>
              </w:rPr>
            </w:pPr>
          </w:p>
        </w:tc>
        <w:tc>
          <w:tcPr>
            <w:tcW w:w="1200" w:type="dxa"/>
          </w:tcPr>
          <w:p w:rsidR="00584769" w:rsidRPr="00D14BF2" w:rsidRDefault="00584769">
            <w:pPr>
              <w:spacing w:line="240" w:lineRule="auto"/>
              <w:jc w:val="center"/>
              <w:rPr>
                <w:rFonts w:ascii="Times New Roman" w:hAnsi="Times New Roman"/>
              </w:rPr>
            </w:pPr>
            <w:r w:rsidRPr="00D14BF2">
              <w:rPr>
                <w:rFonts w:ascii="Times New Roman" w:hAnsi="Times New Roman"/>
              </w:rPr>
              <w:t>3</w:t>
            </w:r>
          </w:p>
        </w:tc>
        <w:tc>
          <w:tcPr>
            <w:tcW w:w="1200" w:type="dxa"/>
          </w:tcPr>
          <w:p w:rsidR="00584769" w:rsidRPr="00D14BF2" w:rsidRDefault="00584769" w:rsidP="0046314E">
            <w:pPr>
              <w:spacing w:line="240" w:lineRule="auto"/>
              <w:jc w:val="center"/>
              <w:rPr>
                <w:rFonts w:ascii="Times New Roman" w:hAnsi="Times New Roman"/>
              </w:rPr>
            </w:pPr>
            <w:r w:rsidRPr="00D14BF2">
              <w:rPr>
                <w:rFonts w:ascii="Times New Roman" w:hAnsi="Times New Roman"/>
              </w:rPr>
              <w:t>$847.62</w:t>
            </w:r>
          </w:p>
        </w:tc>
        <w:tc>
          <w:tcPr>
            <w:tcW w:w="1200" w:type="dxa"/>
          </w:tcPr>
          <w:p w:rsidR="00584769" w:rsidRPr="00D14BF2" w:rsidRDefault="00584769" w:rsidP="00210DB3">
            <w:pPr>
              <w:spacing w:line="240" w:lineRule="auto"/>
              <w:jc w:val="center"/>
              <w:rPr>
                <w:rFonts w:ascii="Times New Roman" w:hAnsi="Times New Roman"/>
              </w:rPr>
            </w:pPr>
            <w:r w:rsidRPr="00D14BF2">
              <w:rPr>
                <w:rFonts w:ascii="Times New Roman" w:hAnsi="Times New Roman"/>
              </w:rPr>
              <w:t>5.67%</w:t>
            </w:r>
          </w:p>
        </w:tc>
        <w:tc>
          <w:tcPr>
            <w:tcW w:w="2970" w:type="dxa"/>
          </w:tcPr>
          <w:p w:rsidR="00584769" w:rsidRPr="00D14BF2" w:rsidRDefault="00584769" w:rsidP="00584769">
            <w:pPr>
              <w:spacing w:line="240" w:lineRule="auto"/>
              <w:rPr>
                <w:rFonts w:ascii="Times New Roman" w:hAnsi="Times New Roman"/>
              </w:rPr>
            </w:pPr>
            <w:r w:rsidRPr="00D14BF2">
              <w:rPr>
                <w:rFonts w:ascii="Times New Roman" w:hAnsi="Times New Roman"/>
              </w:rPr>
              <w:t>(1.0567</w:t>
            </w:r>
            <w:r w:rsidRPr="00D14BF2">
              <w:rPr>
                <w:rFonts w:ascii="Times New Roman" w:hAnsi="Times New Roman"/>
                <w:vertAlign w:val="superscript"/>
              </w:rPr>
              <w:t>3</w:t>
            </w:r>
            <w:r w:rsidRPr="00D14BF2">
              <w:rPr>
                <w:rFonts w:ascii="Times New Roman" w:hAnsi="Times New Roman"/>
              </w:rPr>
              <w:t>/1.055</w:t>
            </w:r>
            <w:r w:rsidRPr="00D14BF2">
              <w:rPr>
                <w:rFonts w:ascii="Times New Roman" w:hAnsi="Times New Roman"/>
                <w:vertAlign w:val="superscript"/>
              </w:rPr>
              <w:t>2</w:t>
            </w:r>
            <w:r w:rsidRPr="00D14BF2">
              <w:rPr>
                <w:rFonts w:ascii="Times New Roman" w:hAnsi="Times New Roman"/>
              </w:rPr>
              <w:t>) – 1 = 6.0%</w:t>
            </w:r>
          </w:p>
        </w:tc>
      </w:tr>
      <w:tr w:rsidR="00584769" w:rsidRPr="00D14BF2">
        <w:tc>
          <w:tcPr>
            <w:tcW w:w="450" w:type="dxa"/>
          </w:tcPr>
          <w:p w:rsidR="00584769" w:rsidRPr="00D14BF2" w:rsidRDefault="00584769">
            <w:pPr>
              <w:spacing w:line="240" w:lineRule="auto"/>
              <w:jc w:val="center"/>
              <w:rPr>
                <w:rFonts w:ascii="Times New Roman" w:hAnsi="Times New Roman"/>
              </w:rPr>
            </w:pPr>
          </w:p>
        </w:tc>
        <w:tc>
          <w:tcPr>
            <w:tcW w:w="1200" w:type="dxa"/>
          </w:tcPr>
          <w:p w:rsidR="00584769" w:rsidRPr="00D14BF2" w:rsidRDefault="00584769">
            <w:pPr>
              <w:spacing w:line="240" w:lineRule="auto"/>
              <w:jc w:val="center"/>
              <w:rPr>
                <w:rFonts w:ascii="Times New Roman" w:hAnsi="Times New Roman"/>
              </w:rPr>
            </w:pPr>
            <w:r w:rsidRPr="00D14BF2">
              <w:rPr>
                <w:rFonts w:ascii="Times New Roman" w:hAnsi="Times New Roman"/>
              </w:rPr>
              <w:t>4</w:t>
            </w:r>
          </w:p>
        </w:tc>
        <w:tc>
          <w:tcPr>
            <w:tcW w:w="1200" w:type="dxa"/>
          </w:tcPr>
          <w:p w:rsidR="00584769" w:rsidRPr="00D14BF2" w:rsidRDefault="00584769" w:rsidP="0046314E">
            <w:pPr>
              <w:spacing w:line="240" w:lineRule="auto"/>
              <w:jc w:val="center"/>
              <w:rPr>
                <w:rFonts w:ascii="Times New Roman" w:hAnsi="Times New Roman"/>
              </w:rPr>
            </w:pPr>
            <w:r w:rsidRPr="00D14BF2">
              <w:rPr>
                <w:rFonts w:ascii="Times New Roman" w:hAnsi="Times New Roman"/>
              </w:rPr>
              <w:t>$792.16</w:t>
            </w:r>
          </w:p>
        </w:tc>
        <w:tc>
          <w:tcPr>
            <w:tcW w:w="1200" w:type="dxa"/>
          </w:tcPr>
          <w:p w:rsidR="00584769" w:rsidRPr="00D14BF2" w:rsidRDefault="00584769" w:rsidP="00210DB3">
            <w:pPr>
              <w:spacing w:line="240" w:lineRule="auto"/>
              <w:jc w:val="center"/>
              <w:rPr>
                <w:rFonts w:ascii="Times New Roman" w:hAnsi="Times New Roman"/>
              </w:rPr>
            </w:pPr>
            <w:r w:rsidRPr="00D14BF2">
              <w:rPr>
                <w:rFonts w:ascii="Times New Roman" w:hAnsi="Times New Roman"/>
              </w:rPr>
              <w:t>6.00%</w:t>
            </w:r>
          </w:p>
        </w:tc>
        <w:tc>
          <w:tcPr>
            <w:tcW w:w="2970" w:type="dxa"/>
          </w:tcPr>
          <w:p w:rsidR="00584769" w:rsidRPr="00D14BF2" w:rsidRDefault="00584769" w:rsidP="00584769">
            <w:pPr>
              <w:spacing w:line="240" w:lineRule="auto"/>
              <w:rPr>
                <w:rFonts w:ascii="Times New Roman" w:hAnsi="Times New Roman"/>
              </w:rPr>
            </w:pPr>
            <w:r w:rsidRPr="00D14BF2">
              <w:rPr>
                <w:rFonts w:ascii="Times New Roman" w:hAnsi="Times New Roman"/>
              </w:rPr>
              <w:t>(1.06</w:t>
            </w:r>
            <w:r w:rsidRPr="00D14BF2">
              <w:rPr>
                <w:rFonts w:ascii="Times New Roman" w:hAnsi="Times New Roman"/>
                <w:vertAlign w:val="superscript"/>
              </w:rPr>
              <w:t>4</w:t>
            </w:r>
            <w:r w:rsidRPr="00D14BF2">
              <w:rPr>
                <w:rFonts w:ascii="Times New Roman" w:hAnsi="Times New Roman"/>
              </w:rPr>
              <w:t>/1.0567</w:t>
            </w:r>
            <w:r w:rsidRPr="00D14BF2">
              <w:rPr>
                <w:rFonts w:ascii="Times New Roman" w:hAnsi="Times New Roman"/>
                <w:vertAlign w:val="superscript"/>
              </w:rPr>
              <w:t>3</w:t>
            </w:r>
            <w:r w:rsidRPr="00D14BF2">
              <w:rPr>
                <w:rFonts w:ascii="Times New Roman" w:hAnsi="Times New Roman"/>
              </w:rPr>
              <w:t>) – 1 = 7.0%</w:t>
            </w:r>
          </w:p>
        </w:tc>
      </w:tr>
    </w:tbl>
    <w:p w:rsidR="006F3924" w:rsidRDefault="006F3924" w:rsidP="00AF6300">
      <w:pPr>
        <w:spacing w:line="240" w:lineRule="auto"/>
        <w:rPr>
          <w:rFonts w:ascii="Times New Roman" w:hAnsi="Times New Roman"/>
        </w:rPr>
      </w:pPr>
    </w:p>
    <w:p w:rsidR="002A7B58" w:rsidRPr="00D14BF2" w:rsidRDefault="002A7B58" w:rsidP="00EB3FDF">
      <w:pPr>
        <w:spacing w:line="240" w:lineRule="auto"/>
        <w:rPr>
          <w:rFonts w:ascii="Times New Roman" w:hAnsi="Times New Roman"/>
        </w:rPr>
      </w:pPr>
    </w:p>
    <w:sectPr w:rsidR="002A7B58" w:rsidRPr="00D14BF2" w:rsidSect="00B66BBD">
      <w:headerReference w:type="default" r:id="rId7"/>
      <w:footerReference w:type="default" r:id="rId8"/>
      <w:type w:val="continuous"/>
      <w:pgSz w:w="12240" w:h="15840"/>
      <w:pgMar w:top="1440" w:right="1800" w:bottom="1440" w:left="180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55F0" w:rsidRDefault="00E155F0">
      <w:r>
        <w:separator/>
      </w:r>
    </w:p>
  </w:endnote>
  <w:endnote w:type="continuationSeparator" w:id="0">
    <w:p w:rsidR="00E155F0" w:rsidRDefault="00E1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5BC" w:rsidRDefault="009E05BC" w:rsidP="00F97FE9">
    <w:pPr>
      <w:pStyle w:val="Footer"/>
      <w:jc w:val="center"/>
      <w:rPr>
        <w:rStyle w:val="PageNumber"/>
        <w:rFonts w:ascii="Times New Roman" w:hAnsi="Times New Roman"/>
        <w:sz w:val="20"/>
      </w:rPr>
    </w:pPr>
    <w:r w:rsidRPr="00507BEF">
      <w:rPr>
        <w:rStyle w:val="PageNumber"/>
        <w:rFonts w:ascii="Times New Roman" w:hAnsi="Times New Roman"/>
        <w:sz w:val="20"/>
      </w:rPr>
      <w:t>15-</w:t>
    </w:r>
    <w:r w:rsidRPr="00507BEF">
      <w:rPr>
        <w:rStyle w:val="PageNumber"/>
        <w:rFonts w:ascii="Times New Roman" w:hAnsi="Times New Roman"/>
        <w:sz w:val="20"/>
      </w:rPr>
      <w:fldChar w:fldCharType="begin"/>
    </w:r>
    <w:r w:rsidRPr="00507BEF">
      <w:rPr>
        <w:rStyle w:val="PageNumber"/>
        <w:rFonts w:ascii="Times New Roman" w:hAnsi="Times New Roman"/>
        <w:sz w:val="20"/>
      </w:rPr>
      <w:instrText xml:space="preserve"> PAGE </w:instrText>
    </w:r>
    <w:r w:rsidRPr="00507BEF">
      <w:rPr>
        <w:rStyle w:val="PageNumber"/>
        <w:rFonts w:ascii="Times New Roman" w:hAnsi="Times New Roman"/>
        <w:sz w:val="20"/>
      </w:rPr>
      <w:fldChar w:fldCharType="separate"/>
    </w:r>
    <w:r w:rsidR="00435A1C">
      <w:rPr>
        <w:rStyle w:val="PageNumber"/>
        <w:rFonts w:ascii="Times New Roman" w:hAnsi="Times New Roman"/>
        <w:noProof/>
        <w:sz w:val="20"/>
      </w:rPr>
      <w:t>1</w:t>
    </w:r>
    <w:r w:rsidRPr="00507BEF">
      <w:rPr>
        <w:rStyle w:val="PageNumber"/>
        <w:rFonts w:ascii="Times New Roman" w:hAnsi="Times New Roman"/>
        <w:sz w:val="20"/>
      </w:rPr>
      <w:fldChar w:fldCharType="end"/>
    </w:r>
  </w:p>
  <w:p w:rsidR="00B66BBD" w:rsidRPr="00B66BBD" w:rsidRDefault="00B66BBD" w:rsidP="00B66BBD">
    <w:pPr>
      <w:pStyle w:val="Footer"/>
      <w:spacing w:line="240" w:lineRule="auto"/>
      <w:jc w:val="center"/>
      <w:rPr>
        <w:rFonts w:ascii="Times New Roman" w:hAnsi="Times New Roman"/>
        <w:sz w:val="16"/>
      </w:rPr>
    </w:pPr>
    <w:r>
      <w:rPr>
        <w:rFonts w:ascii="Times New Roman" w:hAnsi="Times New Roman"/>
        <w:sz w:val="16"/>
      </w:rPr>
      <w:t>Copyright © 2014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55F0" w:rsidRDefault="00E155F0">
      <w:r>
        <w:separator/>
      </w:r>
    </w:p>
  </w:footnote>
  <w:footnote w:type="continuationSeparator" w:id="0">
    <w:p w:rsidR="00E155F0" w:rsidRDefault="00E1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5BC" w:rsidRPr="005C11AD" w:rsidRDefault="00B66BBD">
    <w:pPr>
      <w:pStyle w:val="Header"/>
      <w:rPr>
        <w:rFonts w:ascii="Times New Roman" w:hAnsi="Times New Roman"/>
        <w:sz w:val="20"/>
      </w:rPr>
    </w:pPr>
    <w:r w:rsidRPr="005C11AD">
      <w:rPr>
        <w:rFonts w:ascii="Times New Roman" w:hAnsi="Times New Roman"/>
        <w:sz w:val="20"/>
      </w:rPr>
      <w:t>Chapter 15 - The Term Structure of Interest Rates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E43"/>
    <w:multiLevelType w:val="singleLevel"/>
    <w:tmpl w:val="D68C40B0"/>
    <w:lvl w:ilvl="0">
      <w:start w:val="2"/>
      <w:numFmt w:val="lowerLetter"/>
      <w:lvlText w:val="%1."/>
      <w:lvlJc w:val="left"/>
      <w:pPr>
        <w:tabs>
          <w:tab w:val="num" w:pos="1080"/>
        </w:tabs>
        <w:ind w:left="1080" w:hanging="540"/>
      </w:pPr>
      <w:rPr>
        <w:rFonts w:hint="default"/>
      </w:rPr>
    </w:lvl>
  </w:abstractNum>
  <w:abstractNum w:abstractNumId="1" w15:restartNumberingAfterBreak="0">
    <w:nsid w:val="169E70B9"/>
    <w:multiLevelType w:val="hybridMultilevel"/>
    <w:tmpl w:val="F322E2BE"/>
    <w:lvl w:ilvl="0" w:tplc="DD3CC5E0">
      <w:start w:val="3"/>
      <w:numFmt w:val="lowerLetter"/>
      <w:lvlText w:val="%1."/>
      <w:lvlJc w:val="left"/>
      <w:pPr>
        <w:tabs>
          <w:tab w:val="num" w:pos="900"/>
        </w:tabs>
        <w:ind w:left="900" w:hanging="360"/>
      </w:pPr>
      <w:rPr>
        <w:rFonts w:hint="default"/>
      </w:rPr>
    </w:lvl>
    <w:lvl w:ilvl="1" w:tplc="9F286128" w:tentative="1">
      <w:start w:val="1"/>
      <w:numFmt w:val="lowerLetter"/>
      <w:lvlText w:val="%2."/>
      <w:lvlJc w:val="left"/>
      <w:pPr>
        <w:tabs>
          <w:tab w:val="num" w:pos="1620"/>
        </w:tabs>
        <w:ind w:left="1620" w:hanging="360"/>
      </w:pPr>
    </w:lvl>
    <w:lvl w:ilvl="2" w:tplc="CA92D69A" w:tentative="1">
      <w:start w:val="1"/>
      <w:numFmt w:val="lowerRoman"/>
      <w:lvlText w:val="%3."/>
      <w:lvlJc w:val="right"/>
      <w:pPr>
        <w:tabs>
          <w:tab w:val="num" w:pos="2340"/>
        </w:tabs>
        <w:ind w:left="2340" w:hanging="180"/>
      </w:pPr>
    </w:lvl>
    <w:lvl w:ilvl="3" w:tplc="7D64FC8E" w:tentative="1">
      <w:start w:val="1"/>
      <w:numFmt w:val="decimal"/>
      <w:lvlText w:val="%4."/>
      <w:lvlJc w:val="left"/>
      <w:pPr>
        <w:tabs>
          <w:tab w:val="num" w:pos="3060"/>
        </w:tabs>
        <w:ind w:left="3060" w:hanging="360"/>
      </w:pPr>
    </w:lvl>
    <w:lvl w:ilvl="4" w:tplc="7B1E8964" w:tentative="1">
      <w:start w:val="1"/>
      <w:numFmt w:val="lowerLetter"/>
      <w:lvlText w:val="%5."/>
      <w:lvlJc w:val="left"/>
      <w:pPr>
        <w:tabs>
          <w:tab w:val="num" w:pos="3780"/>
        </w:tabs>
        <w:ind w:left="3780" w:hanging="360"/>
      </w:pPr>
    </w:lvl>
    <w:lvl w:ilvl="5" w:tplc="2AEE3CB4" w:tentative="1">
      <w:start w:val="1"/>
      <w:numFmt w:val="lowerRoman"/>
      <w:lvlText w:val="%6."/>
      <w:lvlJc w:val="right"/>
      <w:pPr>
        <w:tabs>
          <w:tab w:val="num" w:pos="4500"/>
        </w:tabs>
        <w:ind w:left="4500" w:hanging="180"/>
      </w:pPr>
    </w:lvl>
    <w:lvl w:ilvl="6" w:tplc="194E4910" w:tentative="1">
      <w:start w:val="1"/>
      <w:numFmt w:val="decimal"/>
      <w:lvlText w:val="%7."/>
      <w:lvlJc w:val="left"/>
      <w:pPr>
        <w:tabs>
          <w:tab w:val="num" w:pos="5220"/>
        </w:tabs>
        <w:ind w:left="5220" w:hanging="360"/>
      </w:pPr>
    </w:lvl>
    <w:lvl w:ilvl="7" w:tplc="3B44FE80" w:tentative="1">
      <w:start w:val="1"/>
      <w:numFmt w:val="lowerLetter"/>
      <w:lvlText w:val="%8."/>
      <w:lvlJc w:val="left"/>
      <w:pPr>
        <w:tabs>
          <w:tab w:val="num" w:pos="5940"/>
        </w:tabs>
        <w:ind w:left="5940" w:hanging="360"/>
      </w:pPr>
    </w:lvl>
    <w:lvl w:ilvl="8" w:tplc="20C0E836" w:tentative="1">
      <w:start w:val="1"/>
      <w:numFmt w:val="lowerRoman"/>
      <w:lvlText w:val="%9."/>
      <w:lvlJc w:val="right"/>
      <w:pPr>
        <w:tabs>
          <w:tab w:val="num" w:pos="6660"/>
        </w:tabs>
        <w:ind w:left="6660" w:hanging="180"/>
      </w:pPr>
    </w:lvl>
  </w:abstractNum>
  <w:abstractNum w:abstractNumId="2" w15:restartNumberingAfterBreak="0">
    <w:nsid w:val="342F3AA1"/>
    <w:multiLevelType w:val="singleLevel"/>
    <w:tmpl w:val="DC6CAE14"/>
    <w:lvl w:ilvl="0">
      <w:start w:val="3"/>
      <w:numFmt w:val="lowerLetter"/>
      <w:lvlText w:val="%1."/>
      <w:lvlJc w:val="left"/>
      <w:pPr>
        <w:tabs>
          <w:tab w:val="num" w:pos="900"/>
        </w:tabs>
        <w:ind w:left="900" w:hanging="360"/>
      </w:pPr>
      <w:rPr>
        <w:rFonts w:hint="default"/>
      </w:rPr>
    </w:lvl>
  </w:abstractNum>
  <w:abstractNum w:abstractNumId="3" w15:restartNumberingAfterBreak="0">
    <w:nsid w:val="348D3A03"/>
    <w:multiLevelType w:val="singleLevel"/>
    <w:tmpl w:val="750CCDB2"/>
    <w:lvl w:ilvl="0">
      <w:start w:val="3"/>
      <w:numFmt w:val="lowerLetter"/>
      <w:lvlText w:val="%1."/>
      <w:lvlJc w:val="left"/>
      <w:pPr>
        <w:tabs>
          <w:tab w:val="num" w:pos="1080"/>
        </w:tabs>
        <w:ind w:left="1080" w:hanging="540"/>
      </w:pPr>
      <w:rPr>
        <w:rFonts w:hint="default"/>
      </w:rPr>
    </w:lvl>
  </w:abstractNum>
  <w:abstractNum w:abstractNumId="4" w15:restartNumberingAfterBreak="0">
    <w:nsid w:val="4D5B5097"/>
    <w:multiLevelType w:val="singleLevel"/>
    <w:tmpl w:val="EDE4F746"/>
    <w:lvl w:ilvl="0">
      <w:start w:val="23"/>
      <w:numFmt w:val="decimal"/>
      <w:lvlText w:val="%1."/>
      <w:lvlJc w:val="left"/>
      <w:pPr>
        <w:tabs>
          <w:tab w:val="num" w:pos="540"/>
        </w:tabs>
        <w:ind w:left="540" w:hanging="540"/>
      </w:pPr>
      <w:rPr>
        <w:rFonts w:hint="default"/>
      </w:rPr>
    </w:lvl>
  </w:abstractNum>
  <w:abstractNum w:abstractNumId="5" w15:restartNumberingAfterBreak="0">
    <w:nsid w:val="71D37FA3"/>
    <w:multiLevelType w:val="singleLevel"/>
    <w:tmpl w:val="AF32A626"/>
    <w:lvl w:ilvl="0">
      <w:start w:val="2"/>
      <w:numFmt w:val="lowerLetter"/>
      <w:lvlText w:val="%1."/>
      <w:lvlJc w:val="left"/>
      <w:pPr>
        <w:tabs>
          <w:tab w:val="num" w:pos="1080"/>
        </w:tabs>
        <w:ind w:left="1080" w:hanging="540"/>
      </w:pPr>
      <w:rPr>
        <w:rFonts w:hint="default"/>
      </w:rPr>
    </w:lvl>
  </w:abstractNum>
  <w:num w:numId="1" w16cid:durableId="907962759">
    <w:abstractNumId w:val="1"/>
  </w:num>
  <w:num w:numId="2" w16cid:durableId="1778064730">
    <w:abstractNumId w:val="3"/>
  </w:num>
  <w:num w:numId="3" w16cid:durableId="1109928689">
    <w:abstractNumId w:val="4"/>
  </w:num>
  <w:num w:numId="4" w16cid:durableId="1749570518">
    <w:abstractNumId w:val="5"/>
  </w:num>
  <w:num w:numId="5" w16cid:durableId="267202783">
    <w:abstractNumId w:val="2"/>
  </w:num>
  <w:num w:numId="6" w16cid:durableId="30516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F4"/>
    <w:rsid w:val="000544DA"/>
    <w:rsid w:val="000A174D"/>
    <w:rsid w:val="000B12F4"/>
    <w:rsid w:val="000F6A25"/>
    <w:rsid w:val="00126D65"/>
    <w:rsid w:val="00127CB1"/>
    <w:rsid w:val="001A41AC"/>
    <w:rsid w:val="001C1249"/>
    <w:rsid w:val="0020029F"/>
    <w:rsid w:val="00210DB3"/>
    <w:rsid w:val="002679F4"/>
    <w:rsid w:val="00295AB7"/>
    <w:rsid w:val="002A1DAF"/>
    <w:rsid w:val="002A7B58"/>
    <w:rsid w:val="002B068E"/>
    <w:rsid w:val="002B20E5"/>
    <w:rsid w:val="002B6698"/>
    <w:rsid w:val="003165A7"/>
    <w:rsid w:val="00320943"/>
    <w:rsid w:val="003364FA"/>
    <w:rsid w:val="003440DC"/>
    <w:rsid w:val="00367DC5"/>
    <w:rsid w:val="00386F53"/>
    <w:rsid w:val="003C02D5"/>
    <w:rsid w:val="003E54EE"/>
    <w:rsid w:val="003E75D7"/>
    <w:rsid w:val="004035C2"/>
    <w:rsid w:val="0042048D"/>
    <w:rsid w:val="00435A1C"/>
    <w:rsid w:val="00462D91"/>
    <w:rsid w:val="0046314E"/>
    <w:rsid w:val="004A2CB0"/>
    <w:rsid w:val="004D6E96"/>
    <w:rsid w:val="004E061F"/>
    <w:rsid w:val="005009F3"/>
    <w:rsid w:val="00507BEF"/>
    <w:rsid w:val="00527B36"/>
    <w:rsid w:val="00551323"/>
    <w:rsid w:val="00563057"/>
    <w:rsid w:val="00584769"/>
    <w:rsid w:val="0059120D"/>
    <w:rsid w:val="00593B55"/>
    <w:rsid w:val="005C11AD"/>
    <w:rsid w:val="005C58BD"/>
    <w:rsid w:val="0062298E"/>
    <w:rsid w:val="006318B4"/>
    <w:rsid w:val="00637C30"/>
    <w:rsid w:val="006504B5"/>
    <w:rsid w:val="0066464F"/>
    <w:rsid w:val="00670050"/>
    <w:rsid w:val="006707B2"/>
    <w:rsid w:val="006B60F7"/>
    <w:rsid w:val="006B796F"/>
    <w:rsid w:val="006C3AB3"/>
    <w:rsid w:val="006E6F64"/>
    <w:rsid w:val="006F3924"/>
    <w:rsid w:val="00720CCD"/>
    <w:rsid w:val="00737D07"/>
    <w:rsid w:val="00745145"/>
    <w:rsid w:val="00767E52"/>
    <w:rsid w:val="00771E47"/>
    <w:rsid w:val="007F374C"/>
    <w:rsid w:val="00800909"/>
    <w:rsid w:val="008152D5"/>
    <w:rsid w:val="008476FC"/>
    <w:rsid w:val="00882FC0"/>
    <w:rsid w:val="008927B6"/>
    <w:rsid w:val="008B436C"/>
    <w:rsid w:val="008C0E6B"/>
    <w:rsid w:val="008C38F7"/>
    <w:rsid w:val="0095344F"/>
    <w:rsid w:val="00972066"/>
    <w:rsid w:val="00992DFB"/>
    <w:rsid w:val="009E05BC"/>
    <w:rsid w:val="009E7111"/>
    <w:rsid w:val="00AF6300"/>
    <w:rsid w:val="00B52189"/>
    <w:rsid w:val="00B65D62"/>
    <w:rsid w:val="00B66BBD"/>
    <w:rsid w:val="00B96B90"/>
    <w:rsid w:val="00C87533"/>
    <w:rsid w:val="00D14BF2"/>
    <w:rsid w:val="00D43C3A"/>
    <w:rsid w:val="00D54BE7"/>
    <w:rsid w:val="00D7798F"/>
    <w:rsid w:val="00D80316"/>
    <w:rsid w:val="00D81841"/>
    <w:rsid w:val="00D96048"/>
    <w:rsid w:val="00DA4778"/>
    <w:rsid w:val="00DD1F33"/>
    <w:rsid w:val="00E04592"/>
    <w:rsid w:val="00E073D2"/>
    <w:rsid w:val="00E155F0"/>
    <w:rsid w:val="00E41F27"/>
    <w:rsid w:val="00E51B0B"/>
    <w:rsid w:val="00E62FFB"/>
    <w:rsid w:val="00E90599"/>
    <w:rsid w:val="00EA28B8"/>
    <w:rsid w:val="00EB3FDF"/>
    <w:rsid w:val="00ED5DAF"/>
    <w:rsid w:val="00EF04B7"/>
    <w:rsid w:val="00EF7E49"/>
    <w:rsid w:val="00F02B8F"/>
    <w:rsid w:val="00F15589"/>
    <w:rsid w:val="00F158A0"/>
    <w:rsid w:val="00F41C64"/>
    <w:rsid w:val="00F97F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35118-351F-4EE6-9A79-CD19087D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943"/>
    <w:pPr>
      <w:spacing w:line="480" w:lineRule="atLeast"/>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943"/>
    <w:pPr>
      <w:tabs>
        <w:tab w:val="center" w:pos="4320"/>
        <w:tab w:val="right" w:pos="8640"/>
      </w:tabs>
    </w:pPr>
  </w:style>
  <w:style w:type="paragraph" w:styleId="Header">
    <w:name w:val="header"/>
    <w:basedOn w:val="Normal"/>
    <w:rsid w:val="00320943"/>
    <w:pPr>
      <w:tabs>
        <w:tab w:val="center" w:pos="4320"/>
        <w:tab w:val="right" w:pos="8640"/>
      </w:tabs>
    </w:pPr>
  </w:style>
  <w:style w:type="character" w:styleId="FootnoteReference">
    <w:name w:val="footnote reference"/>
    <w:semiHidden/>
    <w:rsid w:val="00320943"/>
    <w:rPr>
      <w:position w:val="6"/>
      <w:sz w:val="16"/>
    </w:rPr>
  </w:style>
  <w:style w:type="paragraph" w:styleId="FootnoteText">
    <w:name w:val="footnote text"/>
    <w:basedOn w:val="Normal"/>
    <w:semiHidden/>
    <w:rsid w:val="00320943"/>
    <w:rPr>
      <w:sz w:val="20"/>
    </w:rPr>
  </w:style>
  <w:style w:type="character" w:styleId="PageNumber">
    <w:name w:val="page number"/>
    <w:basedOn w:val="DefaultParagraphFont"/>
    <w:rsid w:val="00320943"/>
  </w:style>
  <w:style w:type="paragraph" w:customStyle="1" w:styleId="Paragraph">
    <w:name w:val="Paragraph"/>
    <w:basedOn w:val="Normal"/>
    <w:rsid w:val="00320943"/>
    <w:pPr>
      <w:tabs>
        <w:tab w:val="left" w:pos="5580"/>
      </w:tabs>
      <w:ind w:firstLine="720"/>
    </w:pPr>
  </w:style>
  <w:style w:type="paragraph" w:customStyle="1" w:styleId="InsertText">
    <w:name w:val="Insert Text"/>
    <w:basedOn w:val="Paragraph"/>
    <w:rsid w:val="00320943"/>
    <w:pPr>
      <w:ind w:left="1080" w:hanging="360"/>
    </w:pPr>
  </w:style>
  <w:style w:type="paragraph" w:customStyle="1" w:styleId="Quotation">
    <w:name w:val="Quotation"/>
    <w:basedOn w:val="InsertText"/>
    <w:rsid w:val="00320943"/>
    <w:pPr>
      <w:tabs>
        <w:tab w:val="clear" w:pos="5580"/>
      </w:tabs>
      <w:ind w:left="1440" w:right="1800" w:firstLine="0"/>
    </w:pPr>
  </w:style>
  <w:style w:type="paragraph" w:styleId="BodyTextIndent">
    <w:name w:val="Body Text Indent"/>
    <w:basedOn w:val="Normal"/>
    <w:rsid w:val="00320943"/>
    <w:pPr>
      <w:tabs>
        <w:tab w:val="left" w:pos="450"/>
        <w:tab w:val="left" w:pos="800"/>
        <w:tab w:val="left" w:pos="1080"/>
        <w:tab w:val="left" w:pos="4320"/>
      </w:tabs>
      <w:spacing w:line="240" w:lineRule="auto"/>
      <w:ind w:left="2160" w:hanging="2160"/>
    </w:pPr>
  </w:style>
  <w:style w:type="paragraph" w:styleId="BodyTextIndent2">
    <w:name w:val="Body Text Indent 2"/>
    <w:basedOn w:val="Normal"/>
    <w:rsid w:val="00320943"/>
    <w:pPr>
      <w:tabs>
        <w:tab w:val="left" w:pos="450"/>
        <w:tab w:val="left" w:pos="800"/>
        <w:tab w:val="left" w:pos="1080"/>
        <w:tab w:val="left" w:pos="4320"/>
      </w:tabs>
      <w:spacing w:line="240" w:lineRule="auto"/>
      <w:ind w:left="1080" w:hanging="1080"/>
    </w:pPr>
  </w:style>
  <w:style w:type="paragraph" w:styleId="Title">
    <w:name w:val="Title"/>
    <w:basedOn w:val="Normal"/>
    <w:qFormat/>
    <w:rsid w:val="00320943"/>
    <w:pPr>
      <w:tabs>
        <w:tab w:val="left" w:pos="440"/>
        <w:tab w:val="left" w:pos="800"/>
      </w:tabs>
      <w:ind w:left="440" w:hanging="440"/>
      <w:jc w:val="center"/>
    </w:pPr>
    <w:rPr>
      <w:b/>
      <w:sz w:val="28"/>
    </w:rPr>
  </w:style>
  <w:style w:type="paragraph" w:styleId="BlockText">
    <w:name w:val="Block Text"/>
    <w:basedOn w:val="Normal"/>
    <w:rsid w:val="00320943"/>
    <w:pPr>
      <w:tabs>
        <w:tab w:val="left" w:pos="540"/>
        <w:tab w:val="left" w:pos="1620"/>
      </w:tabs>
      <w:spacing w:line="240" w:lineRule="auto"/>
      <w:ind w:left="1080" w:right="-90" w:hanging="1080"/>
    </w:pPr>
  </w:style>
  <w:style w:type="paragraph" w:styleId="BodyTextIndent3">
    <w:name w:val="Body Text Indent 3"/>
    <w:basedOn w:val="Normal"/>
    <w:rsid w:val="00320943"/>
    <w:pPr>
      <w:spacing w:line="240" w:lineRule="auto"/>
      <w:ind w:left="540" w:hanging="540"/>
    </w:pPr>
  </w:style>
  <w:style w:type="paragraph" w:styleId="ListParagraph">
    <w:name w:val="List Paragraph"/>
    <w:basedOn w:val="Normal"/>
    <w:uiPriority w:val="34"/>
    <w:qFormat/>
    <w:rsid w:val="00EF7E49"/>
    <w:pPr>
      <w:ind w:left="720"/>
      <w:contextualSpacing/>
    </w:pPr>
  </w:style>
  <w:style w:type="paragraph" w:styleId="BalloonText">
    <w:name w:val="Balloon Text"/>
    <w:basedOn w:val="Normal"/>
    <w:link w:val="BalloonTextChar"/>
    <w:rsid w:val="006318B4"/>
    <w:pPr>
      <w:spacing w:line="240" w:lineRule="auto"/>
    </w:pPr>
    <w:rPr>
      <w:rFonts w:ascii="Tahoma" w:hAnsi="Tahoma" w:cs="Tahoma"/>
      <w:sz w:val="16"/>
      <w:szCs w:val="16"/>
    </w:rPr>
  </w:style>
  <w:style w:type="character" w:customStyle="1" w:styleId="BalloonTextChar">
    <w:name w:val="Balloon Text Char"/>
    <w:link w:val="BalloonText"/>
    <w:rsid w:val="00631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Maloney, Meg</dc:creator>
  <cp:keywords/>
  <cp:lastModifiedBy>Kee Chung</cp:lastModifiedBy>
  <cp:revision>3</cp:revision>
  <cp:lastPrinted>2003-11-25T14:38:00Z</cp:lastPrinted>
  <dcterms:created xsi:type="dcterms:W3CDTF">2019-02-25T13:37:00Z</dcterms:created>
  <dcterms:modified xsi:type="dcterms:W3CDTF">2023-04-29T20:07:00Z</dcterms:modified>
</cp:coreProperties>
</file>